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271F01D1"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C700D">
        <w:rPr>
          <w:b/>
          <w:sz w:val="24"/>
          <w:szCs w:val="24"/>
        </w:rPr>
        <w:t>#92</w:t>
      </w:r>
      <w:r w:rsidR="0015141B" w:rsidRPr="00EE006E">
        <w:rPr>
          <w:rFonts w:hint="eastAsia"/>
          <w:b/>
          <w:sz w:val="24"/>
          <w:szCs w:val="24"/>
          <w:lang w:eastAsia="ko-KR"/>
        </w:rPr>
        <w:tab/>
      </w:r>
      <w:r w:rsidR="0015141B" w:rsidRPr="005C0B39">
        <w:rPr>
          <w:b/>
          <w:i/>
          <w:sz w:val="24"/>
          <w:szCs w:val="24"/>
          <w:lang w:eastAsia="ko-KR"/>
        </w:rPr>
        <w:t>R1-</w:t>
      </w:r>
      <w:r w:rsidR="000264EA" w:rsidRPr="005C0B39">
        <w:rPr>
          <w:b/>
          <w:i/>
          <w:sz w:val="24"/>
          <w:szCs w:val="24"/>
          <w:lang w:eastAsia="ko-KR"/>
        </w:rPr>
        <w:t>180</w:t>
      </w:r>
      <w:r w:rsidR="000264EA" w:rsidRPr="000264EA">
        <w:rPr>
          <w:b/>
          <w:i/>
          <w:sz w:val="24"/>
          <w:szCs w:val="24"/>
          <w:lang w:eastAsia="ko-KR"/>
        </w:rPr>
        <w:t>4403</w:t>
      </w:r>
    </w:p>
    <w:bookmarkEnd w:id="0"/>
    <w:bookmarkEnd w:id="1"/>
    <w:p w14:paraId="4186FD92" w14:textId="4028072F" w:rsidR="0015141B" w:rsidRPr="00EE006E" w:rsidRDefault="00EA3381" w:rsidP="0015141B">
      <w:pPr>
        <w:pStyle w:val="CRCoverPage"/>
        <w:spacing w:after="240"/>
        <w:jc w:val="both"/>
        <w:outlineLvl w:val="0"/>
        <w:rPr>
          <w:b/>
          <w:noProof/>
          <w:sz w:val="24"/>
          <w:szCs w:val="24"/>
        </w:rPr>
      </w:pPr>
      <w:r>
        <w:rPr>
          <w:b/>
          <w:bCs/>
          <w:noProof/>
          <w:sz w:val="24"/>
          <w:szCs w:val="24"/>
          <w:lang w:eastAsia="ko-KR"/>
        </w:rPr>
        <w:t>Sanya, China</w:t>
      </w:r>
      <w:r w:rsidR="009C700D" w:rsidRPr="009C700D">
        <w:rPr>
          <w:b/>
          <w:bCs/>
          <w:noProof/>
          <w:sz w:val="24"/>
          <w:szCs w:val="24"/>
          <w:lang w:eastAsia="ko-KR"/>
        </w:rPr>
        <w:t xml:space="preserve">, </w:t>
      </w:r>
      <w:r>
        <w:rPr>
          <w:b/>
          <w:bCs/>
          <w:noProof/>
          <w:sz w:val="24"/>
          <w:szCs w:val="24"/>
          <w:lang w:eastAsia="ko-KR"/>
        </w:rPr>
        <w:t>April 16</w:t>
      </w:r>
      <w:r w:rsidR="009C700D" w:rsidRPr="009C700D">
        <w:rPr>
          <w:b/>
          <w:bCs/>
          <w:noProof/>
          <w:sz w:val="24"/>
          <w:szCs w:val="24"/>
          <w:lang w:eastAsia="ko-KR"/>
        </w:rPr>
        <w:t xml:space="preserve">th – </w:t>
      </w:r>
      <w:r>
        <w:rPr>
          <w:b/>
          <w:bCs/>
          <w:noProof/>
          <w:sz w:val="24"/>
          <w:szCs w:val="24"/>
          <w:lang w:eastAsia="ko-KR"/>
        </w:rPr>
        <w:t>April</w:t>
      </w:r>
      <w:r w:rsidR="009C700D" w:rsidRPr="009C700D">
        <w:rPr>
          <w:b/>
          <w:bCs/>
          <w:noProof/>
          <w:sz w:val="24"/>
          <w:szCs w:val="24"/>
          <w:lang w:eastAsia="ko-KR"/>
        </w:rPr>
        <w:t xml:space="preserve"> 2</w:t>
      </w:r>
      <w:r>
        <w:rPr>
          <w:b/>
          <w:bCs/>
          <w:noProof/>
          <w:sz w:val="24"/>
          <w:szCs w:val="24"/>
          <w:lang w:eastAsia="ko-KR"/>
        </w:rPr>
        <w:t>0th</w:t>
      </w:r>
      <w:r w:rsidR="009C700D" w:rsidRPr="009C700D">
        <w:rPr>
          <w:b/>
          <w:bCs/>
          <w:noProof/>
          <w:sz w:val="24"/>
          <w:szCs w:val="24"/>
          <w:lang w:eastAsia="ko-KR"/>
        </w:rPr>
        <w:t>, 2018</w:t>
      </w:r>
    </w:p>
    <w:p w14:paraId="08664EDD" w14:textId="1B7F1D4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A3C17">
        <w:rPr>
          <w:rFonts w:ascii="Arial" w:hAnsi="Arial"/>
          <w:sz w:val="24"/>
        </w:rPr>
        <w:t>7.6.</w:t>
      </w:r>
      <w:r w:rsidR="00182144">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A857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182144">
        <w:rPr>
          <w:rFonts w:ascii="Arial" w:hAnsi="Arial"/>
          <w:sz w:val="24"/>
        </w:rPr>
        <w:t>Frame structure</w:t>
      </w:r>
      <w:r w:rsidR="006A3C17" w:rsidRPr="006A3C17">
        <w:rPr>
          <w:rFonts w:ascii="Arial" w:hAnsi="Arial"/>
          <w:sz w:val="24"/>
        </w:rPr>
        <w:t xml:space="preserv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9C526" w14:textId="7BBCFAD2" w:rsidR="0072612A" w:rsidRDefault="0072612A" w:rsidP="005C0B39">
      <w:pPr>
        <w:ind w:firstLine="360"/>
        <w:jc w:val="both"/>
        <w:rPr>
          <w:lang w:val="en-US" w:eastAsia="ja-JP"/>
        </w:rPr>
      </w:pPr>
      <w:r>
        <w:rPr>
          <w:lang w:val="en-US" w:eastAsia="ja-JP"/>
        </w:rPr>
        <w:t xml:space="preserve">In RAN1 #92 [1], the following agreement was made: </w:t>
      </w:r>
    </w:p>
    <w:p w14:paraId="2E0567F9" w14:textId="1BEF53C9" w:rsidR="0072612A" w:rsidRDefault="0072612A" w:rsidP="006A3C17">
      <w:pPr>
        <w:jc w:val="both"/>
        <w:rPr>
          <w:lang w:val="en-US" w:eastAsia="ja-JP"/>
        </w:rPr>
      </w:pPr>
      <w:r>
        <w:rPr>
          <w:rFonts w:eastAsia="MS Mincho"/>
          <w:noProof/>
          <w:lang w:val="en-US"/>
        </w:rPr>
        <mc:AlternateContent>
          <mc:Choice Requires="wps">
            <w:drawing>
              <wp:anchor distT="0" distB="0" distL="114300" distR="114300" simplePos="0" relativeHeight="251659264" behindDoc="0" locked="0" layoutInCell="1" allowOverlap="1" wp14:anchorId="493C6475" wp14:editId="29236319">
                <wp:simplePos x="0" y="0"/>
                <wp:positionH relativeFrom="column">
                  <wp:posOffset>-17145</wp:posOffset>
                </wp:positionH>
                <wp:positionV relativeFrom="paragraph">
                  <wp:posOffset>2379</wp:posOffset>
                </wp:positionV>
                <wp:extent cx="6113780" cy="2087880"/>
                <wp:effectExtent l="0" t="0" r="20320" b="266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0878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53C2CB" w14:textId="77777777" w:rsidR="0072612A" w:rsidRDefault="0072612A" w:rsidP="0072612A">
                            <w:pPr>
                              <w:spacing w:after="0"/>
                              <w:rPr>
                                <w:lang w:eastAsia="x-none"/>
                              </w:rPr>
                            </w:pPr>
                            <w:r w:rsidRPr="000E12E6">
                              <w:rPr>
                                <w:highlight w:val="green"/>
                                <w:lang w:eastAsia="x-none"/>
                              </w:rPr>
                              <w:t>Agreement:</w:t>
                            </w:r>
                          </w:p>
                          <w:p w14:paraId="4F64C02F" w14:textId="77777777" w:rsidR="0072612A" w:rsidRDefault="0072612A" w:rsidP="0072612A">
                            <w:pPr>
                              <w:numPr>
                                <w:ilvl w:val="0"/>
                                <w:numId w:val="11"/>
                              </w:numPr>
                              <w:spacing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672DAE21" w14:textId="77777777" w:rsidR="0072612A" w:rsidRDefault="0072612A" w:rsidP="0072612A">
                            <w:pPr>
                              <w:numPr>
                                <w:ilvl w:val="1"/>
                                <w:numId w:val="11"/>
                              </w:numPr>
                              <w:spacing w:after="0"/>
                              <w:rPr>
                                <w:lang w:eastAsia="x-none"/>
                              </w:rPr>
                            </w:pPr>
                            <w:r>
                              <w:rPr>
                                <w:lang w:eastAsia="x-none"/>
                              </w:rPr>
                              <w:t>FFS: The definition of the frequency ranges</w:t>
                            </w:r>
                          </w:p>
                          <w:p w14:paraId="5E7E06C5" w14:textId="77777777" w:rsidR="0072612A" w:rsidRDefault="0072612A" w:rsidP="0072612A">
                            <w:pPr>
                              <w:numPr>
                                <w:ilvl w:val="1"/>
                                <w:numId w:val="11"/>
                              </w:numPr>
                              <w:spacing w:after="0"/>
                              <w:rPr>
                                <w:lang w:eastAsia="x-none"/>
                              </w:rPr>
                            </w:pPr>
                            <w:r>
                              <w:rPr>
                                <w:lang w:eastAsia="x-none"/>
                              </w:rPr>
                              <w:t>Note: Optimizations for a particular frequency band may be necessary.</w:t>
                            </w:r>
                          </w:p>
                          <w:p w14:paraId="23D6AB27" w14:textId="77777777" w:rsidR="0072612A" w:rsidRDefault="0072612A" w:rsidP="0072612A">
                            <w:pPr>
                              <w:numPr>
                                <w:ilvl w:val="1"/>
                                <w:numId w:val="11"/>
                              </w:numPr>
                              <w:spacing w:after="0"/>
                              <w:rPr>
                                <w:lang w:eastAsia="x-none"/>
                              </w:rPr>
                            </w:pPr>
                            <w:r>
                              <w:rPr>
                                <w:lang w:eastAsia="x-none"/>
                              </w:rPr>
                              <w:t>Note: Channel bandwidths below 5 MHz are not targeted</w:t>
                            </w:r>
                          </w:p>
                          <w:p w14:paraId="7D70CD1B" w14:textId="77777777" w:rsidR="0072612A" w:rsidRDefault="0072612A" w:rsidP="0072612A">
                            <w:pPr>
                              <w:numPr>
                                <w:ilvl w:val="0"/>
                                <w:numId w:val="10"/>
                              </w:numPr>
                              <w:spacing w:after="0"/>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6B79921F" w14:textId="77777777" w:rsidR="0072612A" w:rsidRDefault="0072612A" w:rsidP="0072612A">
                            <w:pPr>
                              <w:numPr>
                                <w:ilvl w:val="0"/>
                                <w:numId w:val="10"/>
                              </w:numPr>
                              <w:spacing w:after="0"/>
                              <w:rPr>
                                <w:lang w:eastAsia="x-none"/>
                              </w:rPr>
                            </w:pPr>
                            <w:r>
                              <w:rPr>
                                <w:lang w:eastAsia="x-none"/>
                              </w:rPr>
                              <w:t>Note: The study includes identification of procedures for technology neutral channel access for frequency bands that may become available subject to regulations.</w:t>
                            </w:r>
                          </w:p>
                          <w:p w14:paraId="31E79F21" w14:textId="3115DC37" w:rsidR="0072612A" w:rsidRDefault="0072612A" w:rsidP="0072612A">
                            <w:pPr>
                              <w:numPr>
                                <w:ilvl w:val="1"/>
                                <w:numId w:val="10"/>
                              </w:numPr>
                              <w:spacing w:after="0"/>
                              <w:rPr>
                                <w:lang w:eastAsia="x-none"/>
                              </w:rPr>
                            </w:pPr>
                            <w:r w:rsidRPr="000E6B2F">
                              <w:rPr>
                                <w:lang w:eastAsia="x-none"/>
                              </w:rPr>
                              <w:t xml:space="preserve">The study assumes regulation will provide the framework concerning the protection for the </w:t>
                            </w:r>
                            <w:r w:rsidR="007A07AD" w:rsidRPr="000E6B2F">
                              <w:rPr>
                                <w:lang w:eastAsia="x-none"/>
                              </w:rPr>
                              <w:t>technologies</w:t>
                            </w:r>
                            <w:r w:rsidRPr="000E6B2F">
                              <w:rPr>
                                <w:lang w:eastAsia="x-none"/>
                              </w:rPr>
                              <w:t xml:space="preserve"> not using unlicensed access in those bands</w:t>
                            </w:r>
                            <w:r>
                              <w:rPr>
                                <w:lang w:eastAsia="x-none"/>
                              </w:rPr>
                              <w:t>.</w:t>
                            </w:r>
                          </w:p>
                          <w:p w14:paraId="1DBB40FA" w14:textId="7F96B2BC" w:rsidR="0072612A" w:rsidRDefault="0072612A" w:rsidP="0072612A">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93C6475" id="_x0000_t202" coordsize="21600,21600" o:spt="202" path="m,l,21600r21600,l21600,xe">
                <v:stroke joinstyle="miter"/>
                <v:path gradientshapeok="t" o:connecttype="rect"/>
              </v:shapetype>
              <v:shape id="Text Box 3" o:spid="_x0000_s1026" type="#_x0000_t202" style="position:absolute;left:0;text-align:left;margin-left:-1.35pt;margin-top:.2pt;width:481.4pt;height:16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">
                <v:textbox>
                  <w:txbxContent>
                    <w:p w14:paraId="5353C2CB" w14:textId="77777777" w:rsidR="0072612A" w:rsidRDefault="0072612A" w:rsidP="0072612A">
                      <w:pPr>
                        <w:spacing w:after="0"/>
                        <w:rPr>
                          <w:lang w:eastAsia="x-none"/>
                        </w:rPr>
                      </w:pPr>
                      <w:r w:rsidRPr="000E12E6">
                        <w:rPr>
                          <w:highlight w:val="green"/>
                          <w:lang w:eastAsia="x-none"/>
                        </w:rPr>
                        <w:t>Agreement:</w:t>
                      </w:r>
                    </w:p>
                    <w:p w14:paraId="4F64C02F" w14:textId="77777777" w:rsidR="0072612A" w:rsidRDefault="0072612A" w:rsidP="0072612A">
                      <w:pPr>
                        <w:numPr>
                          <w:ilvl w:val="0"/>
                          <w:numId w:val="11"/>
                        </w:numPr>
                        <w:spacing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672DAE21" w14:textId="77777777" w:rsidR="0072612A" w:rsidRDefault="0072612A" w:rsidP="0072612A">
                      <w:pPr>
                        <w:numPr>
                          <w:ilvl w:val="1"/>
                          <w:numId w:val="11"/>
                        </w:numPr>
                        <w:spacing w:after="0"/>
                        <w:rPr>
                          <w:lang w:eastAsia="x-none"/>
                        </w:rPr>
                      </w:pPr>
                      <w:r>
                        <w:rPr>
                          <w:lang w:eastAsia="x-none"/>
                        </w:rPr>
                        <w:t>FFS: The definition of the frequency ranges</w:t>
                      </w:r>
                    </w:p>
                    <w:p w14:paraId="5E7E06C5" w14:textId="77777777" w:rsidR="0072612A" w:rsidRDefault="0072612A" w:rsidP="0072612A">
                      <w:pPr>
                        <w:numPr>
                          <w:ilvl w:val="1"/>
                          <w:numId w:val="11"/>
                        </w:numPr>
                        <w:spacing w:after="0"/>
                        <w:rPr>
                          <w:lang w:eastAsia="x-none"/>
                        </w:rPr>
                      </w:pPr>
                      <w:r>
                        <w:rPr>
                          <w:lang w:eastAsia="x-none"/>
                        </w:rPr>
                        <w:t>Note: Optimizations for a particular frequency band may be necessary.</w:t>
                      </w:r>
                    </w:p>
                    <w:p w14:paraId="23D6AB27" w14:textId="77777777" w:rsidR="0072612A" w:rsidRDefault="0072612A" w:rsidP="0072612A">
                      <w:pPr>
                        <w:numPr>
                          <w:ilvl w:val="1"/>
                          <w:numId w:val="11"/>
                        </w:numPr>
                        <w:spacing w:after="0"/>
                        <w:rPr>
                          <w:lang w:eastAsia="x-none"/>
                        </w:rPr>
                      </w:pPr>
                      <w:r>
                        <w:rPr>
                          <w:lang w:eastAsia="x-none"/>
                        </w:rPr>
                        <w:t>Note: Channel bandwidths below 5 MHz are not targeted</w:t>
                      </w:r>
                    </w:p>
                    <w:p w14:paraId="7D70CD1B" w14:textId="77777777" w:rsidR="0072612A" w:rsidRDefault="0072612A" w:rsidP="0072612A">
                      <w:pPr>
                        <w:numPr>
                          <w:ilvl w:val="0"/>
                          <w:numId w:val="10"/>
                        </w:numPr>
                        <w:spacing w:after="0"/>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6B79921F" w14:textId="77777777" w:rsidR="0072612A" w:rsidRDefault="0072612A" w:rsidP="0072612A">
                      <w:pPr>
                        <w:numPr>
                          <w:ilvl w:val="0"/>
                          <w:numId w:val="10"/>
                        </w:numPr>
                        <w:spacing w:after="0"/>
                        <w:rPr>
                          <w:lang w:eastAsia="x-none"/>
                        </w:rPr>
                      </w:pPr>
                      <w:r>
                        <w:rPr>
                          <w:lang w:eastAsia="x-none"/>
                        </w:rPr>
                        <w:t>Note: The study includes identification of procedures for technology neutral channel access for frequency bands that may become available subject to regulations.</w:t>
                      </w:r>
                    </w:p>
                    <w:p w14:paraId="31E79F21" w14:textId="3115DC37" w:rsidR="0072612A" w:rsidRDefault="0072612A" w:rsidP="0072612A">
                      <w:pPr>
                        <w:numPr>
                          <w:ilvl w:val="1"/>
                          <w:numId w:val="10"/>
                        </w:numPr>
                        <w:spacing w:after="0"/>
                        <w:rPr>
                          <w:lang w:eastAsia="x-none"/>
                        </w:rPr>
                      </w:pPr>
                      <w:r w:rsidRPr="000E6B2F">
                        <w:rPr>
                          <w:lang w:eastAsia="x-none"/>
                        </w:rPr>
                        <w:t xml:space="preserve">The study assumes regulation will provide the framework concerning the protection for the </w:t>
                      </w:r>
                      <w:r w:rsidR="007A07AD" w:rsidRPr="000E6B2F">
                        <w:rPr>
                          <w:lang w:eastAsia="x-none"/>
                        </w:rPr>
                        <w:t>technologies</w:t>
                      </w:r>
                      <w:r w:rsidRPr="000E6B2F">
                        <w:rPr>
                          <w:lang w:eastAsia="x-none"/>
                        </w:rPr>
                        <w:t xml:space="preserve"> not using unlicensed access in those bands</w:t>
                      </w:r>
                      <w:r>
                        <w:rPr>
                          <w:lang w:eastAsia="x-none"/>
                        </w:rPr>
                        <w:t>.</w:t>
                      </w:r>
                    </w:p>
                    <w:p w14:paraId="1DBB40FA" w14:textId="7F96B2BC" w:rsidR="0072612A" w:rsidRDefault="0072612A" w:rsidP="0072612A">
                      <w:pPr>
                        <w:spacing w:after="0"/>
                        <w:jc w:val="center"/>
                      </w:pPr>
                    </w:p>
                  </w:txbxContent>
                </v:textbox>
              </v:shape>
            </w:pict>
          </mc:Fallback>
        </mc:AlternateContent>
      </w:r>
      <w:r>
        <w:rPr>
          <w:lang w:val="en-US" w:eastAsia="ja-JP"/>
        </w:rPr>
        <w:t xml:space="preserve"> </w:t>
      </w:r>
    </w:p>
    <w:p w14:paraId="20727AD9" w14:textId="77777777" w:rsidR="0072612A" w:rsidRDefault="0072612A" w:rsidP="006A3C17">
      <w:pPr>
        <w:jc w:val="both"/>
        <w:rPr>
          <w:lang w:val="en-US" w:eastAsia="ja-JP"/>
        </w:rPr>
      </w:pPr>
    </w:p>
    <w:p w14:paraId="62DFA3EE" w14:textId="77777777" w:rsidR="0072612A" w:rsidRDefault="0072612A" w:rsidP="006A3C17">
      <w:pPr>
        <w:jc w:val="both"/>
        <w:rPr>
          <w:lang w:val="en-US" w:eastAsia="ja-JP"/>
        </w:rPr>
      </w:pPr>
    </w:p>
    <w:p w14:paraId="289DCEC6" w14:textId="77777777" w:rsidR="0072612A" w:rsidRDefault="0072612A" w:rsidP="006A3C17">
      <w:pPr>
        <w:jc w:val="both"/>
        <w:rPr>
          <w:lang w:val="en-US" w:eastAsia="ja-JP"/>
        </w:rPr>
      </w:pPr>
    </w:p>
    <w:p w14:paraId="49124AC2" w14:textId="77777777" w:rsidR="0072612A" w:rsidRDefault="0072612A" w:rsidP="006A3C17">
      <w:pPr>
        <w:jc w:val="both"/>
        <w:rPr>
          <w:lang w:val="en-US" w:eastAsia="ja-JP"/>
        </w:rPr>
      </w:pPr>
    </w:p>
    <w:p w14:paraId="63B52FE7" w14:textId="77777777" w:rsidR="0072612A" w:rsidRDefault="0072612A" w:rsidP="006A3C17">
      <w:pPr>
        <w:jc w:val="both"/>
        <w:rPr>
          <w:lang w:val="en-US" w:eastAsia="ja-JP"/>
        </w:rPr>
      </w:pPr>
    </w:p>
    <w:p w14:paraId="38FB92A0" w14:textId="77777777" w:rsidR="0072612A" w:rsidRDefault="0072612A" w:rsidP="006A3C17">
      <w:pPr>
        <w:jc w:val="both"/>
        <w:rPr>
          <w:lang w:val="en-US" w:eastAsia="ja-JP"/>
        </w:rPr>
      </w:pPr>
    </w:p>
    <w:p w14:paraId="5DCAE398" w14:textId="77777777" w:rsidR="0072612A" w:rsidRDefault="0072612A" w:rsidP="006A3C17">
      <w:pPr>
        <w:jc w:val="both"/>
        <w:rPr>
          <w:lang w:val="en-US" w:eastAsia="ja-JP"/>
        </w:rPr>
      </w:pPr>
    </w:p>
    <w:p w14:paraId="546527B6" w14:textId="77777777" w:rsidR="0072612A" w:rsidRPr="0072612A" w:rsidRDefault="0072612A" w:rsidP="006A3C17">
      <w:pPr>
        <w:jc w:val="both"/>
        <w:rPr>
          <w:sz w:val="2"/>
          <w:lang w:val="en-US" w:eastAsia="ja-JP"/>
        </w:rPr>
      </w:pPr>
    </w:p>
    <w:p w14:paraId="009FBBD7" w14:textId="4B8B813A" w:rsidR="00C4654D" w:rsidRPr="00EE006E" w:rsidRDefault="00EB2B9B" w:rsidP="005C0B39">
      <w:pPr>
        <w:ind w:firstLine="360"/>
        <w:jc w:val="both"/>
        <w:rPr>
          <w:lang w:val="en-US" w:eastAsia="ja-JP"/>
        </w:rPr>
      </w:pPr>
      <w:r w:rsidRPr="00EE006E">
        <w:rPr>
          <w:lang w:val="en-US" w:eastAsia="ja-JP"/>
        </w:rPr>
        <w:t xml:space="preserve">This contribution discusses the </w:t>
      </w:r>
      <w:r w:rsidR="006A3C17">
        <w:rPr>
          <w:lang w:val="en-US" w:eastAsia="ja-JP"/>
        </w:rPr>
        <w:t xml:space="preserve">aspects related to the </w:t>
      </w:r>
      <w:r w:rsidR="00182144">
        <w:rPr>
          <w:lang w:val="en-US" w:eastAsia="ja-JP"/>
        </w:rPr>
        <w:t>frame structure</w:t>
      </w:r>
      <w:r w:rsidR="00C82E6E">
        <w:rPr>
          <w:lang w:val="en-US" w:eastAsia="ja-JP"/>
        </w:rPr>
        <w:t xml:space="preserve"> for NR unlicensed</w:t>
      </w:r>
      <w:bookmarkStart w:id="3" w:name="_GoBack"/>
      <w:bookmarkEnd w:id="3"/>
    </w:p>
    <w:p w14:paraId="679ACB42" w14:textId="07C5B56E" w:rsidR="00530B88" w:rsidRPr="00EE006E" w:rsidRDefault="00182144"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Numerology</w:t>
      </w:r>
    </w:p>
    <w:p w14:paraId="6CD6158B" w14:textId="0838273C" w:rsidR="00182144" w:rsidRDefault="00182144" w:rsidP="002F79D5">
      <w:pPr>
        <w:spacing w:line="288" w:lineRule="auto"/>
        <w:ind w:firstLine="357"/>
        <w:jc w:val="both"/>
      </w:pPr>
      <w:r>
        <w:rPr>
          <w:rFonts w:hint="eastAsia"/>
          <w:lang w:val="en-US"/>
        </w:rPr>
        <w:t xml:space="preserve">NR supports multiple numerologies that are based on exponentially scalable sub-carrier spacing (SCS) </w:t>
      </w:r>
      <w:r w:rsidRPr="006159B0">
        <w:rPr>
          <w:i/>
          <w:iCs/>
        </w:rPr>
        <w:sym w:font="Symbol" w:char="F044"/>
      </w:r>
      <w:r w:rsidRPr="006159B0">
        <w:rPr>
          <w:rFonts w:ascii="Arial" w:hAnsi="Arial" w:cs="Arial"/>
          <w:i/>
          <w:iCs/>
        </w:rPr>
        <w:t>f</w:t>
      </w:r>
      <w:r w:rsidRPr="006159B0">
        <w:t xml:space="preserve"> = 2</w:t>
      </w:r>
      <w:r w:rsidRPr="006159B0">
        <w:rPr>
          <w:i/>
          <w:vertAlign w:val="superscript"/>
        </w:rPr>
        <w:t>µ</w:t>
      </w:r>
      <w:r w:rsidRPr="006159B0">
        <w:t xml:space="preserve"> × 15 kHz with </w:t>
      </w:r>
      <w:r w:rsidRPr="006159B0">
        <w:rPr>
          <w:i/>
        </w:rPr>
        <w:t>µ</w:t>
      </w:r>
      <w:r w:rsidRPr="006159B0">
        <w:t xml:space="preserve">={0,1,3,4} for PSS, SSS and PBCH and </w:t>
      </w:r>
      <w:r w:rsidRPr="006159B0">
        <w:rPr>
          <w:i/>
        </w:rPr>
        <w:t>µ</w:t>
      </w:r>
      <w:r w:rsidRPr="006159B0">
        <w:t xml:space="preserve">={0,1,2,3} for other channels. </w:t>
      </w:r>
      <w:r>
        <w:rPr>
          <w:rFonts w:hint="eastAsia"/>
        </w:rPr>
        <w:t xml:space="preserve">Note that </w:t>
      </w:r>
      <w:r w:rsidRPr="006159B0">
        <w:t>Normal CP</w:t>
      </w:r>
      <w:r>
        <w:rPr>
          <w:rFonts w:hint="eastAsia"/>
        </w:rPr>
        <w:t xml:space="preserve"> (NCP)</w:t>
      </w:r>
      <w:r w:rsidRPr="006159B0">
        <w:t xml:space="preserve"> is supported for all sub-carrier spacings, Extended CP</w:t>
      </w:r>
      <w:r>
        <w:rPr>
          <w:rFonts w:hint="eastAsia"/>
        </w:rPr>
        <w:t xml:space="preserve"> (ECP)</w:t>
      </w:r>
      <w:r w:rsidRPr="006159B0">
        <w:t xml:space="preserve"> is supported </w:t>
      </w:r>
      <w:r>
        <w:rPr>
          <w:rFonts w:hint="eastAsia"/>
        </w:rPr>
        <w:t xml:space="preserve">only </w:t>
      </w:r>
      <w:r w:rsidRPr="006159B0">
        <w:t xml:space="preserve">for </w:t>
      </w:r>
      <w:r w:rsidRPr="006159B0">
        <w:rPr>
          <w:i/>
        </w:rPr>
        <w:t>µ</w:t>
      </w:r>
      <w:r w:rsidRPr="006159B0">
        <w:t>=2.</w:t>
      </w:r>
      <w:r>
        <w:rPr>
          <w:rFonts w:hint="eastAsia"/>
        </w:rPr>
        <w:t xml:space="preserve"> More specifically, for signal and channel other than PSS, SSS, and PBCH the 15kHz, 30kHz, and 60kHz SCS are supported for frequency range 1 (FR1) where its corresponding frequency range is from 450MHz to 6GHz. For FR2 (frequency range is from 24.25GHz to 52.6GHz), the </w:t>
      </w:r>
      <w:r w:rsidR="00676E6C">
        <w:t xml:space="preserve">60kHz and </w:t>
      </w:r>
      <w:r>
        <w:rPr>
          <w:rFonts w:hint="eastAsia"/>
        </w:rPr>
        <w:t xml:space="preserve">120kHz SCS </w:t>
      </w:r>
      <w:r w:rsidR="00676E6C">
        <w:t>are</w:t>
      </w:r>
      <w:r>
        <w:rPr>
          <w:rFonts w:hint="eastAsia"/>
        </w:rPr>
        <w:t xml:space="preserve"> supported.</w:t>
      </w:r>
    </w:p>
    <w:p w14:paraId="6C055FAB" w14:textId="301D3FD7" w:rsidR="00182144" w:rsidRDefault="00182144" w:rsidP="002F79D5">
      <w:pPr>
        <w:spacing w:line="288" w:lineRule="auto"/>
        <w:ind w:firstLine="357"/>
        <w:jc w:val="both"/>
      </w:pPr>
      <w:r>
        <w:rPr>
          <w:rFonts w:hint="eastAsia"/>
        </w:rPr>
        <w:t xml:space="preserve">For LTE unlicensed operation (LTE-LAA) where target operating frequency range is </w:t>
      </w:r>
      <w:r w:rsidR="00A2265D">
        <w:t xml:space="preserve">limited to </w:t>
      </w:r>
      <w:r>
        <w:rPr>
          <w:rFonts w:hint="eastAsia"/>
        </w:rPr>
        <w:t xml:space="preserve">5GHz unlicensed band, the 15kHz SCS with normal CP is only supported. For NR, it is quite obvious that at least the same SCS should also be supported to provide comparable performance (e.g. coverage, throughput, etc.) in 5GHz unlicensed band. Furthermore, supporting a larger SCS is beneficial for NR-U to increase channel access opportunities while minimizing transmission of unnecessary signal for channel reservation. Therefore, it is desirable for NR-U to support </w:t>
      </w:r>
      <w:r w:rsidR="00C82E6E">
        <w:rPr>
          <w:rFonts w:hint="eastAsia"/>
        </w:rPr>
        <w:t xml:space="preserve">up </w:t>
      </w:r>
      <w:r w:rsidR="00C82E6E">
        <w:t xml:space="preserve">to </w:t>
      </w:r>
      <w:r>
        <w:rPr>
          <w:rFonts w:hint="eastAsia"/>
        </w:rPr>
        <w:t>60kHz SCS</w:t>
      </w:r>
      <w:r w:rsidR="00676E6C">
        <w:t xml:space="preserve"> for signal/channel other than SS/PBCH</w:t>
      </w:r>
      <w:r>
        <w:rPr>
          <w:rFonts w:hint="eastAsia"/>
        </w:rPr>
        <w:t xml:space="preserve"> in</w:t>
      </w:r>
      <w:r w:rsidR="005C0B39">
        <w:t xml:space="preserve"> sub-7GHz</w:t>
      </w:r>
      <w:r>
        <w:rPr>
          <w:rFonts w:hint="eastAsia"/>
        </w:rPr>
        <w:t>.</w:t>
      </w:r>
    </w:p>
    <w:p w14:paraId="25340BCC" w14:textId="1AC2EEB4" w:rsidR="00182144" w:rsidRDefault="00182144" w:rsidP="002F79D5">
      <w:pPr>
        <w:spacing w:line="288" w:lineRule="auto"/>
        <w:ind w:firstLine="357"/>
        <w:jc w:val="both"/>
      </w:pPr>
      <w:r>
        <w:rPr>
          <w:rFonts w:hint="eastAsia"/>
        </w:rPr>
        <w:t xml:space="preserve">For FR2, </w:t>
      </w:r>
      <w:r>
        <w:rPr>
          <w:rFonts w:eastAsia="MS Mincho"/>
          <w:lang w:eastAsia="ja-JP"/>
        </w:rPr>
        <w:t xml:space="preserve">the </w:t>
      </w:r>
      <w:r>
        <w:t>specification work to support NR</w:t>
      </w:r>
      <w:r>
        <w:rPr>
          <w:rFonts w:hint="eastAsia"/>
        </w:rPr>
        <w:t>-U</w:t>
      </w:r>
      <w:r>
        <w:t xml:space="preserve"> for &gt;52.6GHz</w:t>
      </w:r>
      <w:r>
        <w:rPr>
          <w:rFonts w:hint="eastAsia"/>
        </w:rPr>
        <w:t xml:space="preserve"> (e.g. 60GHz unlicensed spectrum)</w:t>
      </w:r>
      <w:r>
        <w:t xml:space="preserve"> is still unclear</w:t>
      </w:r>
      <w:r>
        <w:rPr>
          <w:rFonts w:hint="eastAsia"/>
        </w:rPr>
        <w:t xml:space="preserve">, but it can be argued that in principle a larger SCS is beneficial for NR-U to support very large available channel bandwidth (e.g. 2.16GHz channel) in 60GHz </w:t>
      </w:r>
      <w:r>
        <w:t>unlicensed</w:t>
      </w:r>
      <w:r>
        <w:rPr>
          <w:rFonts w:hint="eastAsia"/>
        </w:rPr>
        <w:t xml:space="preserve"> spectrum. Therefore, </w:t>
      </w:r>
      <w:r w:rsidR="00E05F72">
        <w:t xml:space="preserve">additional </w:t>
      </w:r>
      <w:r>
        <w:rPr>
          <w:rFonts w:hint="eastAsia"/>
        </w:rPr>
        <w:t xml:space="preserve">SCS(s) larger than 120kHz </w:t>
      </w:r>
      <w:r w:rsidR="00C82E6E">
        <w:t xml:space="preserve">for data transmission </w:t>
      </w:r>
      <w:r>
        <w:rPr>
          <w:rFonts w:hint="eastAsia"/>
        </w:rPr>
        <w:t xml:space="preserve">can </w:t>
      </w:r>
      <w:r w:rsidR="00C82E6E">
        <w:t xml:space="preserve">also </w:t>
      </w:r>
      <w:r>
        <w:rPr>
          <w:rFonts w:hint="eastAsia"/>
        </w:rPr>
        <w:t>be considered</w:t>
      </w:r>
      <w:r w:rsidR="00E05F72">
        <w:t xml:space="preserve"> for 60GHz unlicensed spectrum</w:t>
      </w:r>
      <w:r>
        <w:rPr>
          <w:rFonts w:hint="eastAsia"/>
        </w:rPr>
        <w:t>.</w:t>
      </w:r>
    </w:p>
    <w:p w14:paraId="58B56182" w14:textId="744851AD" w:rsidR="00182144" w:rsidRDefault="00182144" w:rsidP="00182144">
      <w:pPr>
        <w:spacing w:line="288" w:lineRule="auto"/>
        <w:jc w:val="both"/>
        <w:rPr>
          <w:b/>
          <w:u w:val="single"/>
          <w:lang w:val="en-US"/>
        </w:rPr>
      </w:pPr>
      <w:r w:rsidRPr="00DB0A9F">
        <w:rPr>
          <w:b/>
          <w:u w:val="single"/>
          <w:lang w:val="en-US" w:eastAsia="ja-JP"/>
        </w:rPr>
        <w:t>Proposal</w:t>
      </w:r>
      <w:r>
        <w:rPr>
          <w:b/>
          <w:u w:val="single"/>
          <w:lang w:val="en-US" w:eastAsia="ja-JP"/>
        </w:rPr>
        <w:t xml:space="preserve"> </w:t>
      </w:r>
      <w:r>
        <w:rPr>
          <w:rFonts w:hint="eastAsia"/>
          <w:b/>
          <w:u w:val="single"/>
          <w:lang w:val="en-US"/>
        </w:rPr>
        <w:t>1</w:t>
      </w:r>
      <w:r>
        <w:rPr>
          <w:b/>
          <w:u w:val="single"/>
          <w:lang w:val="en-US" w:eastAsia="ja-JP"/>
        </w:rPr>
        <w:t>: NR-U should</w:t>
      </w:r>
      <w:r w:rsidRPr="00DB0A9F">
        <w:rPr>
          <w:b/>
          <w:u w:val="single"/>
          <w:lang w:val="en-US" w:eastAsia="ja-JP"/>
        </w:rPr>
        <w:t xml:space="preserve"> </w:t>
      </w:r>
      <w:r>
        <w:rPr>
          <w:rFonts w:hint="eastAsia"/>
          <w:b/>
          <w:u w:val="single"/>
          <w:lang w:val="en-US"/>
        </w:rPr>
        <w:t>support</w:t>
      </w:r>
      <w:r w:rsidRPr="00DB0A9F">
        <w:rPr>
          <w:b/>
          <w:u w:val="single"/>
          <w:lang w:val="en-US" w:eastAsia="ja-JP"/>
        </w:rPr>
        <w:t xml:space="preserve"> the </w:t>
      </w:r>
      <w:r>
        <w:rPr>
          <w:rFonts w:hint="eastAsia"/>
          <w:b/>
          <w:u w:val="single"/>
          <w:lang w:val="en-US"/>
        </w:rPr>
        <w:t xml:space="preserve">SCSs up to 60kHz for </w:t>
      </w:r>
      <w:r w:rsidR="005C0B39">
        <w:rPr>
          <w:b/>
          <w:u w:val="single"/>
          <w:lang w:val="en-US"/>
        </w:rPr>
        <w:t>sub-7GHz</w:t>
      </w:r>
      <w:r>
        <w:rPr>
          <w:rFonts w:hint="eastAsia"/>
          <w:b/>
          <w:u w:val="single"/>
          <w:lang w:val="en-US"/>
        </w:rPr>
        <w:t xml:space="preserve">. Additional SCS(s) for FR2 can </w:t>
      </w:r>
      <w:r w:rsidR="00C82E6E">
        <w:rPr>
          <w:b/>
          <w:u w:val="single"/>
          <w:lang w:val="en-US"/>
        </w:rPr>
        <w:t xml:space="preserve">also </w:t>
      </w:r>
      <w:r>
        <w:rPr>
          <w:rFonts w:hint="eastAsia"/>
          <w:b/>
          <w:u w:val="single"/>
          <w:lang w:val="en-US"/>
        </w:rPr>
        <w:t xml:space="preserve">be considered </w:t>
      </w:r>
      <w:r w:rsidR="00E05F72">
        <w:rPr>
          <w:b/>
          <w:u w:val="single"/>
          <w:lang w:val="en-US"/>
        </w:rPr>
        <w:t xml:space="preserve">for </w:t>
      </w:r>
      <w:r w:rsidR="00C82E6E">
        <w:rPr>
          <w:b/>
          <w:u w:val="single"/>
          <w:lang w:val="en-US"/>
        </w:rPr>
        <w:t>unlicensed spectrum in FR2</w:t>
      </w:r>
      <w:r>
        <w:rPr>
          <w:rFonts w:hint="eastAsia"/>
          <w:b/>
          <w:u w:val="single"/>
          <w:lang w:val="en-US"/>
        </w:rPr>
        <w:t>.</w:t>
      </w:r>
    </w:p>
    <w:p w14:paraId="22326D3F" w14:textId="2E815760" w:rsidR="00A2265D" w:rsidRDefault="00A2265D" w:rsidP="00A2265D">
      <w:pPr>
        <w:spacing w:line="288" w:lineRule="auto"/>
        <w:jc w:val="both"/>
        <w:rPr>
          <w:b/>
          <w:u w:val="single"/>
          <w:lang w:val="en-US"/>
        </w:rPr>
      </w:pPr>
      <w:r w:rsidRPr="00DB0A9F">
        <w:rPr>
          <w:b/>
          <w:u w:val="single"/>
          <w:lang w:val="en-US" w:eastAsia="ja-JP"/>
        </w:rPr>
        <w:t>Proposal</w:t>
      </w:r>
      <w:r>
        <w:rPr>
          <w:b/>
          <w:u w:val="single"/>
          <w:lang w:val="en-US" w:eastAsia="ja-JP"/>
        </w:rPr>
        <w:t xml:space="preserve"> 2: Extended CP is not considered for NR-U</w:t>
      </w:r>
      <w:r>
        <w:rPr>
          <w:rFonts w:hint="eastAsia"/>
          <w:b/>
          <w:u w:val="single"/>
          <w:lang w:val="en-US"/>
        </w:rPr>
        <w:t>.</w:t>
      </w:r>
    </w:p>
    <w:p w14:paraId="32247C2B" w14:textId="3AB536BB" w:rsidR="0072612A" w:rsidRPr="0072612A" w:rsidRDefault="00676E6C" w:rsidP="0072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Variable starting position</w:t>
      </w:r>
    </w:p>
    <w:p w14:paraId="4587EC65" w14:textId="13E392F0" w:rsidR="003D032D" w:rsidRDefault="000925D2" w:rsidP="00DE3992">
      <w:pPr>
        <w:spacing w:line="288" w:lineRule="auto"/>
        <w:ind w:firstLine="357"/>
        <w:jc w:val="both"/>
        <w:rPr>
          <w:rFonts w:eastAsia="SimSun"/>
          <w:lang w:val="en-US" w:eastAsia="zh-CN"/>
        </w:rPr>
      </w:pPr>
      <w:r w:rsidRPr="002F79D5">
        <w:rPr>
          <w:lang w:val="en-US"/>
        </w:rPr>
        <w:t xml:space="preserve">For LTE-LAA, </w:t>
      </w:r>
      <w:r w:rsidR="0064153D">
        <w:rPr>
          <w:lang w:val="en-US"/>
        </w:rPr>
        <w:t>a starting position for downlink transmission can be changed according to the outcome of channel access</w:t>
      </w:r>
      <w:r w:rsidR="0095297E">
        <w:rPr>
          <w:lang w:val="en-US"/>
        </w:rPr>
        <w:t xml:space="preserve">. However, due to the </w:t>
      </w:r>
      <w:r w:rsidR="00B00075">
        <w:rPr>
          <w:lang w:val="en-US"/>
        </w:rPr>
        <w:t>fixed</w:t>
      </w:r>
      <w:r w:rsidR="0064153D">
        <w:rPr>
          <w:lang w:val="en-US"/>
        </w:rPr>
        <w:t xml:space="preserve"> </w:t>
      </w:r>
      <w:r w:rsidR="00B00075">
        <w:rPr>
          <w:lang w:val="en-US"/>
        </w:rPr>
        <w:t>reference signal position (i.e., CRS)</w:t>
      </w:r>
      <w:r w:rsidR="00A517D3">
        <w:rPr>
          <w:lang w:val="en-US"/>
        </w:rPr>
        <w:t xml:space="preserve"> and complexity</w:t>
      </w:r>
      <w:r w:rsidR="00B00075">
        <w:rPr>
          <w:lang w:val="en-US"/>
        </w:rPr>
        <w:t xml:space="preserve">, </w:t>
      </w:r>
      <w:r w:rsidR="0064153D">
        <w:rPr>
          <w:lang w:val="en-US"/>
        </w:rPr>
        <w:t xml:space="preserve">the </w:t>
      </w:r>
      <w:r w:rsidR="00A517D3">
        <w:rPr>
          <w:lang w:val="en-US"/>
        </w:rPr>
        <w:t>number of candidate positions is</w:t>
      </w:r>
      <w:r w:rsidR="0064153D">
        <w:rPr>
          <w:lang w:val="en-US"/>
        </w:rPr>
        <w:t xml:space="preserve"> fixed and limited to each of</w:t>
      </w:r>
      <w:r w:rsidR="00B00075">
        <w:rPr>
          <w:lang w:val="en-US"/>
        </w:rPr>
        <w:t xml:space="preserve"> slot boundaries in a subframe</w:t>
      </w:r>
      <w:r w:rsidR="00A517D3">
        <w:rPr>
          <w:lang w:val="en-US"/>
        </w:rPr>
        <w:t>. Therefore,</w:t>
      </w:r>
      <w:r w:rsidR="00B00075">
        <w:rPr>
          <w:lang w:val="en-US"/>
        </w:rPr>
        <w:t xml:space="preserve"> </w:t>
      </w:r>
      <w:r w:rsidR="0064153D">
        <w:rPr>
          <w:lang w:val="en-US"/>
        </w:rPr>
        <w:t>the channel may not be fully utilized</w:t>
      </w:r>
      <w:r w:rsidR="00B00075">
        <w:rPr>
          <w:lang w:val="en-US"/>
        </w:rPr>
        <w:t xml:space="preserve"> for control/data transmission. </w:t>
      </w:r>
      <w:r w:rsidR="0064153D">
        <w:rPr>
          <w:lang w:val="en-US"/>
        </w:rPr>
        <w:t xml:space="preserve">Unlike LTE, </w:t>
      </w:r>
      <w:r w:rsidR="00DE3992">
        <w:rPr>
          <w:lang w:val="en-US"/>
        </w:rPr>
        <w:t xml:space="preserve">NR </w:t>
      </w:r>
      <w:r w:rsidR="00A517D3">
        <w:rPr>
          <w:lang w:val="en-US"/>
        </w:rPr>
        <w:t xml:space="preserve">is able to support </w:t>
      </w:r>
      <w:r w:rsidR="00DE3992">
        <w:rPr>
          <w:lang w:val="en-US"/>
        </w:rPr>
        <w:t>fl</w:t>
      </w:r>
      <w:r w:rsidR="003D032D">
        <w:rPr>
          <w:lang w:val="en-US"/>
        </w:rPr>
        <w:t>exible starting position</w:t>
      </w:r>
      <w:r w:rsidR="00DE3992">
        <w:rPr>
          <w:lang w:val="en-US"/>
        </w:rPr>
        <w:t>s</w:t>
      </w:r>
      <w:r w:rsidR="003D032D">
        <w:rPr>
          <w:lang w:val="en-US"/>
        </w:rPr>
        <w:t xml:space="preserve"> by non-slot based transmission</w:t>
      </w:r>
      <w:r w:rsidR="00DE3992">
        <w:rPr>
          <w:lang w:val="en-US"/>
        </w:rPr>
        <w:t>.</w:t>
      </w:r>
      <w:r w:rsidR="003D032D">
        <w:rPr>
          <w:lang w:val="en-US"/>
        </w:rPr>
        <w:t xml:space="preserve"> </w:t>
      </w:r>
      <w:r w:rsidR="00DE3992">
        <w:rPr>
          <w:lang w:val="en-US"/>
        </w:rPr>
        <w:t>B</w:t>
      </w:r>
      <w:r w:rsidR="003D032D">
        <w:rPr>
          <w:lang w:val="en-US"/>
        </w:rPr>
        <w:t xml:space="preserve">ecause a DMRS position can be </w:t>
      </w:r>
      <w:r w:rsidR="00DE3992">
        <w:rPr>
          <w:lang w:val="en-US"/>
        </w:rPr>
        <w:t xml:space="preserve">located at the first symbol scheduled for PDSCH/PUSCH and a UE can be configured to monitor CORESET with a short periodicity (e.g., per symbol), </w:t>
      </w:r>
      <w:r w:rsidR="003D032D">
        <w:rPr>
          <w:lang w:val="en-US"/>
        </w:rPr>
        <w:t xml:space="preserve">PDSCH/PUSCH </w:t>
      </w:r>
      <w:r w:rsidR="00DE3992">
        <w:rPr>
          <w:lang w:val="en-US"/>
        </w:rPr>
        <w:t xml:space="preserve">can be transmitted </w:t>
      </w:r>
      <w:r w:rsidR="003D032D">
        <w:rPr>
          <w:lang w:val="en-US"/>
        </w:rPr>
        <w:t xml:space="preserve">immediately after accessing the channel. </w:t>
      </w:r>
      <w:r w:rsidR="00DE3992">
        <w:rPr>
          <w:lang w:val="en-US"/>
        </w:rPr>
        <w:t xml:space="preserve">However, to </w:t>
      </w:r>
      <w:r w:rsidR="003D032D">
        <w:rPr>
          <w:rFonts w:eastAsia="SimSun" w:hint="eastAsia"/>
          <w:lang w:val="en-US" w:eastAsia="zh-CN"/>
        </w:rPr>
        <w:t>fully utilize these features to lighten the impact of LBT</w:t>
      </w:r>
      <w:r w:rsidR="00DE3992">
        <w:rPr>
          <w:rFonts w:eastAsia="SimSun"/>
          <w:lang w:val="en-US" w:eastAsia="zh-CN"/>
        </w:rPr>
        <w:t>, additional complexity such as</w:t>
      </w:r>
      <w:r w:rsidR="003D032D">
        <w:rPr>
          <w:rFonts w:eastAsia="SimSun"/>
          <w:lang w:val="en-US" w:eastAsia="zh-CN"/>
        </w:rPr>
        <w:t xml:space="preserve"> </w:t>
      </w:r>
      <w:r w:rsidR="003D032D" w:rsidRPr="00EF3A1D">
        <w:rPr>
          <w:rFonts w:hint="eastAsia"/>
          <w:lang w:val="en-US"/>
        </w:rPr>
        <w:t>UE blind detection overhead and/or power consumption should be carefully considered.</w:t>
      </w:r>
      <w:r w:rsidR="003D032D" w:rsidRPr="00C525E6">
        <w:rPr>
          <w:rFonts w:eastAsia="SimSun" w:hint="eastAsia"/>
          <w:lang w:val="en-US" w:eastAsia="zh-CN"/>
        </w:rPr>
        <w:t xml:space="preserve"> In </w:t>
      </w:r>
      <w:r w:rsidR="003D032D" w:rsidRPr="00C525E6">
        <w:rPr>
          <w:rFonts w:eastAsia="SimSun"/>
          <w:lang w:val="en-US" w:eastAsia="zh-CN"/>
        </w:rPr>
        <w:t>addition</w:t>
      </w:r>
      <w:r w:rsidR="003D032D" w:rsidRPr="00C525E6">
        <w:rPr>
          <w:rFonts w:eastAsia="SimSun" w:hint="eastAsia"/>
          <w:lang w:val="en-US" w:eastAsia="zh-CN"/>
        </w:rPr>
        <w:t xml:space="preserve">, if </w:t>
      </w:r>
      <w:r w:rsidR="00A517D3">
        <w:rPr>
          <w:rFonts w:eastAsia="SimSun"/>
          <w:lang w:val="en-US" w:eastAsia="zh-CN"/>
        </w:rPr>
        <w:t>flexible</w:t>
      </w:r>
      <w:r w:rsidR="003D032D">
        <w:rPr>
          <w:rFonts w:eastAsia="SimSun"/>
          <w:lang w:val="en-US" w:eastAsia="zh-CN"/>
        </w:rPr>
        <w:t xml:space="preserve"> starting positions for PDSCH/PUSCH depending on the outcome of channel access</w:t>
      </w:r>
      <w:r w:rsidR="00A517D3">
        <w:rPr>
          <w:rFonts w:eastAsia="SimSun"/>
          <w:lang w:val="en-US" w:eastAsia="zh-CN"/>
        </w:rPr>
        <w:t xml:space="preserve"> are supported</w:t>
      </w:r>
      <w:r w:rsidR="003D032D" w:rsidRPr="00C525E6">
        <w:rPr>
          <w:rFonts w:eastAsia="SimSun" w:hint="eastAsia"/>
          <w:lang w:val="en-US" w:eastAsia="zh-CN"/>
        </w:rPr>
        <w:t>, gNB</w:t>
      </w:r>
      <w:r w:rsidR="003D032D">
        <w:rPr>
          <w:rFonts w:eastAsia="SimSun"/>
          <w:lang w:val="en-US" w:eastAsia="zh-CN"/>
        </w:rPr>
        <w:t>/UE</w:t>
      </w:r>
      <w:r w:rsidR="003D032D" w:rsidRPr="00C525E6">
        <w:rPr>
          <w:rFonts w:eastAsia="SimSun" w:hint="eastAsia"/>
          <w:lang w:val="en-US" w:eastAsia="zh-CN"/>
        </w:rPr>
        <w:t xml:space="preserve"> may be </w:t>
      </w:r>
      <w:r w:rsidR="003D032D">
        <w:rPr>
          <w:rFonts w:eastAsia="SimSun"/>
          <w:lang w:val="en-US" w:eastAsia="zh-CN"/>
        </w:rPr>
        <w:t xml:space="preserve">required to prepare multiple PDSCH/PUSCHs because </w:t>
      </w:r>
      <w:r w:rsidR="00A517D3">
        <w:rPr>
          <w:rFonts w:eastAsia="SimSun"/>
          <w:lang w:val="en-US" w:eastAsia="zh-CN"/>
        </w:rPr>
        <w:t>there may</w:t>
      </w:r>
      <w:r w:rsidR="00DE3992">
        <w:rPr>
          <w:rFonts w:eastAsia="SimSun"/>
          <w:lang w:val="en-US" w:eastAsia="zh-CN"/>
        </w:rPr>
        <w:t xml:space="preserve"> not </w:t>
      </w:r>
      <w:r w:rsidR="00A517D3">
        <w:rPr>
          <w:rFonts w:eastAsia="SimSun"/>
          <w:lang w:val="en-US" w:eastAsia="zh-CN"/>
        </w:rPr>
        <w:t>be e</w:t>
      </w:r>
      <w:r w:rsidR="00DE3992">
        <w:rPr>
          <w:rFonts w:eastAsia="SimSun"/>
          <w:lang w:val="en-US" w:eastAsia="zh-CN"/>
        </w:rPr>
        <w:t xml:space="preserve">nough time for </w:t>
      </w:r>
      <w:r w:rsidR="003D032D">
        <w:rPr>
          <w:rFonts w:eastAsia="SimSun"/>
          <w:lang w:val="en-US" w:eastAsia="zh-CN"/>
        </w:rPr>
        <w:t>gNB/UE to re</w:t>
      </w:r>
      <w:r w:rsidR="00DE3992">
        <w:rPr>
          <w:rFonts w:eastAsia="SimSun"/>
          <w:lang w:val="en-US" w:eastAsia="zh-CN"/>
        </w:rPr>
        <w:t>generate</w:t>
      </w:r>
      <w:r w:rsidR="003D032D">
        <w:rPr>
          <w:rFonts w:eastAsia="SimSun"/>
          <w:lang w:val="en-US" w:eastAsia="zh-CN"/>
        </w:rPr>
        <w:t xml:space="preserve"> the data </w:t>
      </w:r>
      <w:r w:rsidR="00DE3992">
        <w:rPr>
          <w:rFonts w:eastAsia="SimSun"/>
          <w:lang w:val="en-US" w:eastAsia="zh-CN"/>
        </w:rPr>
        <w:t>according to the outcome of LBT.</w:t>
      </w:r>
      <w:r w:rsidR="00A517D3">
        <w:rPr>
          <w:rFonts w:eastAsia="SimSun"/>
          <w:lang w:val="en-US" w:eastAsia="zh-CN"/>
        </w:rPr>
        <w:t xml:space="preserve"> </w:t>
      </w:r>
    </w:p>
    <w:p w14:paraId="22300568" w14:textId="79368697" w:rsidR="00DE3992" w:rsidRDefault="00C510CD" w:rsidP="002F79D5">
      <w:pPr>
        <w:spacing w:line="288" w:lineRule="auto"/>
        <w:ind w:firstLine="357"/>
        <w:jc w:val="both"/>
        <w:rPr>
          <w:lang w:val="en-US"/>
        </w:rPr>
      </w:pPr>
      <w:r w:rsidRPr="002F79D5">
        <w:rPr>
          <w:rFonts w:hint="eastAsia"/>
          <w:lang w:val="en-US"/>
        </w:rPr>
        <w:t xml:space="preserve">For Rel-15 LAA, a UE may start </w:t>
      </w:r>
      <w:r w:rsidRPr="002F79D5">
        <w:rPr>
          <w:lang w:val="en-US"/>
        </w:rPr>
        <w:t>uplink data transmission</w:t>
      </w:r>
      <w:r w:rsidR="00B00075">
        <w:rPr>
          <w:lang w:val="en-US"/>
        </w:rPr>
        <w:t xml:space="preserve"> from the second slot boundary</w:t>
      </w:r>
      <w:r w:rsidRPr="002F79D5">
        <w:rPr>
          <w:lang w:val="en-US"/>
        </w:rPr>
        <w:t xml:space="preserve"> </w:t>
      </w:r>
      <w:r w:rsidR="002F79D5" w:rsidRPr="002F79D5">
        <w:rPr>
          <w:lang w:val="en-US"/>
        </w:rPr>
        <w:t>in</w:t>
      </w:r>
      <w:r w:rsidRPr="002F79D5">
        <w:rPr>
          <w:lang w:val="en-US"/>
        </w:rPr>
        <w:t xml:space="preserve"> a </w:t>
      </w:r>
      <w:r w:rsidR="00B00075">
        <w:rPr>
          <w:lang w:val="en-US"/>
        </w:rPr>
        <w:t xml:space="preserve">scheduled </w:t>
      </w:r>
      <w:r w:rsidRPr="002F79D5">
        <w:rPr>
          <w:lang w:val="en-US"/>
        </w:rPr>
        <w:t xml:space="preserve">subframe depending on the outcome of channel access. When the transmission starts at the second slot, </w:t>
      </w:r>
      <w:r w:rsidR="00FE2B40" w:rsidRPr="002F79D5">
        <w:rPr>
          <w:lang w:val="en-US"/>
        </w:rPr>
        <w:t>the first s</w:t>
      </w:r>
      <w:r w:rsidR="002F79D5" w:rsidRPr="002F79D5">
        <w:rPr>
          <w:lang w:val="en-US"/>
        </w:rPr>
        <w:t>lot of a subframe is punctured</w:t>
      </w:r>
      <w:r w:rsidR="00A517D3">
        <w:rPr>
          <w:lang w:val="en-US"/>
        </w:rPr>
        <w:t>.</w:t>
      </w:r>
      <w:r w:rsidR="00DE3992">
        <w:rPr>
          <w:lang w:val="en-US"/>
        </w:rPr>
        <w:t xml:space="preserve"> For NR, this approach can be a baseline for supporting flexible starting position. The data punctured due to failure of LBT could be recovered by CBG-based retransmission</w:t>
      </w:r>
      <w:r w:rsidR="00A517D3">
        <w:rPr>
          <w:lang w:val="en-US"/>
        </w:rPr>
        <w:t xml:space="preserve"> in NR</w:t>
      </w:r>
      <w:r w:rsidR="00DE3992">
        <w:rPr>
          <w:lang w:val="en-US"/>
        </w:rPr>
        <w:t xml:space="preserve">. </w:t>
      </w:r>
    </w:p>
    <w:p w14:paraId="017A54B6" w14:textId="04F0BE89" w:rsidR="0072612A" w:rsidRPr="00C82E6E" w:rsidRDefault="0072612A" w:rsidP="00C82E6E">
      <w:pPr>
        <w:spacing w:line="288" w:lineRule="auto"/>
        <w:jc w:val="both"/>
        <w:rPr>
          <w:b/>
          <w:u w:val="single"/>
          <w:lang w:val="en-US" w:eastAsia="ja-JP"/>
        </w:rPr>
      </w:pPr>
      <w:r w:rsidRPr="00C82E6E">
        <w:rPr>
          <w:b/>
          <w:u w:val="single"/>
          <w:lang w:val="en-US" w:eastAsia="ja-JP"/>
        </w:rPr>
        <w:t xml:space="preserve">Proposal </w:t>
      </w:r>
      <w:r w:rsidR="00676E6C" w:rsidRPr="00C82E6E">
        <w:rPr>
          <w:b/>
          <w:u w:val="single"/>
          <w:lang w:val="en-US" w:eastAsia="ja-JP"/>
        </w:rPr>
        <w:t>3</w:t>
      </w:r>
      <w:r w:rsidR="00077BD4" w:rsidRPr="00C82E6E">
        <w:rPr>
          <w:b/>
          <w:u w:val="single"/>
          <w:lang w:val="en-US" w:eastAsia="ja-JP"/>
        </w:rPr>
        <w:t xml:space="preserve">: </w:t>
      </w:r>
      <w:r w:rsidR="00C82E6E" w:rsidRPr="00C82E6E">
        <w:rPr>
          <w:b/>
          <w:u w:val="single"/>
          <w:lang w:val="en-US" w:eastAsia="ja-JP"/>
        </w:rPr>
        <w:t>Supporting f</w:t>
      </w:r>
      <w:r w:rsidR="004D3622" w:rsidRPr="00C82E6E">
        <w:rPr>
          <w:b/>
          <w:u w:val="single"/>
          <w:lang w:val="en-US" w:eastAsia="ja-JP"/>
        </w:rPr>
        <w:t>lexible</w:t>
      </w:r>
      <w:r w:rsidR="00077BD4" w:rsidRPr="00C82E6E">
        <w:rPr>
          <w:b/>
          <w:u w:val="single"/>
          <w:lang w:val="en-US" w:eastAsia="ja-JP"/>
        </w:rPr>
        <w:t xml:space="preserve"> starting</w:t>
      </w:r>
      <w:r w:rsidR="00C510CD" w:rsidRPr="00C82E6E">
        <w:rPr>
          <w:b/>
          <w:u w:val="single"/>
          <w:lang w:val="en-US" w:eastAsia="ja-JP"/>
        </w:rPr>
        <w:t xml:space="preserve"> position</w:t>
      </w:r>
      <w:r w:rsidR="002F79D5" w:rsidRPr="00C82E6E">
        <w:rPr>
          <w:b/>
          <w:u w:val="single"/>
          <w:lang w:val="en-US" w:eastAsia="ja-JP"/>
        </w:rPr>
        <w:t>(s)</w:t>
      </w:r>
      <w:r w:rsidR="00C510CD" w:rsidRPr="00C82E6E">
        <w:rPr>
          <w:b/>
          <w:u w:val="single"/>
          <w:lang w:val="en-US" w:eastAsia="ja-JP"/>
        </w:rPr>
        <w:t xml:space="preserve"> for downlink/uplink transmission </w:t>
      </w:r>
      <w:r w:rsidR="002F79D5" w:rsidRPr="00C82E6E">
        <w:rPr>
          <w:b/>
          <w:u w:val="single"/>
          <w:lang w:val="en-US" w:eastAsia="ja-JP"/>
        </w:rPr>
        <w:t xml:space="preserve">depending on the outcome of </w:t>
      </w:r>
      <w:r w:rsidR="00C510CD" w:rsidRPr="00C82E6E">
        <w:rPr>
          <w:b/>
          <w:u w:val="single"/>
          <w:lang w:val="en-US" w:eastAsia="ja-JP"/>
        </w:rPr>
        <w:t xml:space="preserve">channel access </w:t>
      </w:r>
      <w:r w:rsidR="00480D85" w:rsidRPr="00C82E6E">
        <w:rPr>
          <w:b/>
          <w:u w:val="single"/>
          <w:lang w:val="en-US" w:eastAsia="ja-JP"/>
        </w:rPr>
        <w:t>should</w:t>
      </w:r>
      <w:r w:rsidR="00C510CD" w:rsidRPr="00C82E6E">
        <w:rPr>
          <w:b/>
          <w:u w:val="single"/>
          <w:lang w:val="en-US" w:eastAsia="ja-JP"/>
        </w:rPr>
        <w:t xml:space="preserve"> be </w:t>
      </w:r>
      <w:r w:rsidR="00480D85" w:rsidRPr="00C82E6E">
        <w:rPr>
          <w:b/>
          <w:u w:val="single"/>
          <w:lang w:val="en-US" w:eastAsia="ja-JP"/>
        </w:rPr>
        <w:t>investigated</w:t>
      </w:r>
      <w:r w:rsidR="00C510CD" w:rsidRPr="00C82E6E">
        <w:rPr>
          <w:b/>
          <w:u w:val="single"/>
          <w:lang w:val="en-US" w:eastAsia="ja-JP"/>
        </w:rPr>
        <w:t xml:space="preserve"> for NR-U</w:t>
      </w:r>
      <w:r w:rsidR="002F79D5" w:rsidRPr="00C82E6E">
        <w:rPr>
          <w:b/>
          <w:u w:val="single"/>
          <w:lang w:val="en-US" w:eastAsia="ja-JP"/>
        </w:rPr>
        <w:t>.</w:t>
      </w:r>
    </w:p>
    <w:p w14:paraId="766F409F" w14:textId="0E42A08B" w:rsidR="00DC3179" w:rsidRDefault="00193E74" w:rsidP="00DC317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Self-contained </w:t>
      </w:r>
      <w:r w:rsidR="00842D10">
        <w:rPr>
          <w:lang w:val="en-US" w:eastAsia="ja-JP"/>
        </w:rPr>
        <w:t>channel occupancy time</w:t>
      </w:r>
    </w:p>
    <w:p w14:paraId="70A6E871" w14:textId="6392AB80" w:rsidR="00D35CAF" w:rsidRDefault="00862142" w:rsidP="00C82E6E">
      <w:pPr>
        <w:spacing w:after="0" w:line="288" w:lineRule="auto"/>
        <w:ind w:firstLine="386"/>
        <w:jc w:val="both"/>
        <w:rPr>
          <w:rFonts w:eastAsia="SimSun"/>
          <w:lang w:val="en-US" w:eastAsia="zh-CN"/>
        </w:rPr>
      </w:pPr>
      <w:r>
        <w:rPr>
          <w:rFonts w:eastAsia="SimSun"/>
          <w:lang w:val="en-US" w:eastAsia="zh-CN"/>
        </w:rPr>
        <w:t>Besides the DL-only and UL only slot structures, NR licensed also supports the self-contained slot structures wherein the HARQ-ACK feedback is transmitted in the same slot as the DL or UL data transmission. The self-contained structure can also be supported by NR-U, such that there can exist one or multiple DL/UL switching points within the channel occupancy time (COT)</w:t>
      </w:r>
      <w:r w:rsidR="00EC31D6">
        <w:rPr>
          <w:rFonts w:eastAsia="SimSun"/>
          <w:lang w:val="en-US" w:eastAsia="zh-CN"/>
        </w:rPr>
        <w:t>, which denotes the duration of channel access followed by a successful LBT</w:t>
      </w:r>
      <w:r>
        <w:rPr>
          <w:rFonts w:eastAsia="SimSun"/>
          <w:lang w:val="en-US" w:eastAsia="zh-CN"/>
        </w:rPr>
        <w:t>. Such self-contained COT structure allows more efficient resource utilization in the unlicensed band and faster link adaptation based on HARQ/ACK feedbacks, similar to NR licensed. In addition, supporting the self-contained COT with DL/UL switching point at the beginning of the COT can also facilitate the handshake mechanism between gNB and UE, wherein the gNB and UE can exchange handshake messages before their data transmission to ensure (1) the receiver is ready to receive; and (2) the transmission between the gNB and UE will not cause strong interference to other ongoing transmissions</w:t>
      </w:r>
      <w:r w:rsidR="00A81FBF">
        <w:rPr>
          <w:rFonts w:eastAsia="SimSun"/>
          <w:lang w:val="en-US" w:eastAsia="zh-CN"/>
        </w:rPr>
        <w:t xml:space="preserve"> [</w:t>
      </w:r>
      <w:r w:rsidR="0092780A">
        <w:rPr>
          <w:rFonts w:eastAsia="SimSun"/>
          <w:lang w:val="en-US" w:eastAsia="zh-CN"/>
        </w:rPr>
        <w:t>2</w:t>
      </w:r>
      <w:r w:rsidR="00A81FBF">
        <w:rPr>
          <w:rFonts w:eastAsia="SimSun"/>
          <w:lang w:val="en-US" w:eastAsia="zh-CN"/>
        </w:rPr>
        <w:t>]</w:t>
      </w:r>
      <w:r w:rsidR="00C82E6E">
        <w:rPr>
          <w:rFonts w:eastAsia="SimSun"/>
          <w:lang w:val="en-US" w:eastAsia="zh-CN"/>
        </w:rPr>
        <w:t>.</w:t>
      </w:r>
    </w:p>
    <w:p w14:paraId="2474FA48" w14:textId="00348F89" w:rsidR="00862142" w:rsidRPr="00C82E6E" w:rsidRDefault="00862142" w:rsidP="00C82E6E">
      <w:pPr>
        <w:spacing w:line="288" w:lineRule="auto"/>
        <w:ind w:firstLine="357"/>
        <w:jc w:val="both"/>
        <w:rPr>
          <w:lang w:val="en-US"/>
        </w:rPr>
      </w:pPr>
      <w:r w:rsidRPr="00C82E6E">
        <w:rPr>
          <w:lang w:val="en-US"/>
        </w:rPr>
        <w:t xml:space="preserve">Despite the benefits of supporting self-contained COT for NR-U, further investigations on the details of </w:t>
      </w:r>
      <w:r w:rsidR="00A676B7" w:rsidRPr="00C82E6E">
        <w:rPr>
          <w:lang w:val="en-US"/>
        </w:rPr>
        <w:t xml:space="preserve">the </w:t>
      </w:r>
      <w:r w:rsidRPr="00C82E6E">
        <w:rPr>
          <w:lang w:val="en-US"/>
        </w:rPr>
        <w:t xml:space="preserve">self-contained COT are </w:t>
      </w:r>
      <w:r w:rsidR="00A676B7" w:rsidRPr="00C82E6E">
        <w:rPr>
          <w:lang w:val="en-US"/>
        </w:rPr>
        <w:t xml:space="preserve">also </w:t>
      </w:r>
      <w:r w:rsidRPr="00C82E6E">
        <w:rPr>
          <w:lang w:val="en-US"/>
        </w:rPr>
        <w:t xml:space="preserve">needed, such as whether or not a single-shot LBT is needed at </w:t>
      </w:r>
      <w:r w:rsidR="00A676B7" w:rsidRPr="00C82E6E">
        <w:rPr>
          <w:lang w:val="en-US"/>
        </w:rPr>
        <w:t xml:space="preserve">the </w:t>
      </w:r>
      <w:r w:rsidRPr="00C82E6E">
        <w:rPr>
          <w:lang w:val="en-US"/>
        </w:rPr>
        <w:t xml:space="preserve">DL/UL switching points for different subcarrier spacings; </w:t>
      </w:r>
      <w:r w:rsidR="00F775C4" w:rsidRPr="00C82E6E">
        <w:rPr>
          <w:lang w:val="en-US"/>
        </w:rPr>
        <w:t xml:space="preserve">system </w:t>
      </w:r>
      <w:r w:rsidRPr="00C82E6E">
        <w:rPr>
          <w:lang w:val="en-US"/>
        </w:rPr>
        <w:t xml:space="preserve">impacts and </w:t>
      </w:r>
      <w:r w:rsidR="00DE669F" w:rsidRPr="00C82E6E">
        <w:rPr>
          <w:lang w:val="en-US"/>
        </w:rPr>
        <w:t xml:space="preserve">corresponding </w:t>
      </w:r>
      <w:r w:rsidRPr="00C82E6E">
        <w:rPr>
          <w:lang w:val="en-US"/>
        </w:rPr>
        <w:t>designs</w:t>
      </w:r>
      <w:r w:rsidR="00DD0FA8" w:rsidRPr="00C82E6E">
        <w:rPr>
          <w:lang w:val="en-US"/>
        </w:rPr>
        <w:t xml:space="preserve"> when</w:t>
      </w:r>
      <w:r w:rsidRPr="00C82E6E">
        <w:rPr>
          <w:lang w:val="en-US"/>
        </w:rPr>
        <w:t xml:space="preserve"> LBT fails for HARQ-ACK feedbacks; and the number of supported DL/UL switching points within the self-contained COT to balance the feedback latency and</w:t>
      </w:r>
      <w:r w:rsidR="00C82E6E">
        <w:rPr>
          <w:lang w:val="en-US"/>
        </w:rPr>
        <w:t xml:space="preserve"> implementation complexity.</w:t>
      </w:r>
    </w:p>
    <w:p w14:paraId="5B22ACD8" w14:textId="10015A11" w:rsidR="00DC3179" w:rsidRPr="00C82E6E" w:rsidRDefault="00DC3179" w:rsidP="00C82E6E">
      <w:pPr>
        <w:spacing w:line="288" w:lineRule="auto"/>
        <w:jc w:val="both"/>
        <w:rPr>
          <w:b/>
          <w:u w:val="single"/>
          <w:lang w:val="en-US" w:eastAsia="ja-JP"/>
        </w:rPr>
      </w:pPr>
      <w:r w:rsidRPr="00C82E6E">
        <w:rPr>
          <w:b/>
          <w:u w:val="single"/>
          <w:lang w:val="en-US" w:eastAsia="ja-JP"/>
        </w:rPr>
        <w:t xml:space="preserve">Proposal </w:t>
      </w:r>
      <w:r w:rsidR="00676E6C" w:rsidRPr="00C82E6E">
        <w:rPr>
          <w:b/>
          <w:u w:val="single"/>
          <w:lang w:val="en-US" w:eastAsia="ja-JP"/>
        </w:rPr>
        <w:t>4</w:t>
      </w:r>
      <w:r w:rsidRPr="00C82E6E">
        <w:rPr>
          <w:b/>
          <w:u w:val="single"/>
          <w:lang w:val="en-US" w:eastAsia="ja-JP"/>
        </w:rPr>
        <w:t xml:space="preserve">: </w:t>
      </w:r>
      <w:r w:rsidR="004027CC" w:rsidRPr="00C82E6E">
        <w:rPr>
          <w:b/>
          <w:u w:val="single"/>
          <w:lang w:val="en-US" w:eastAsia="ja-JP"/>
        </w:rPr>
        <w:t xml:space="preserve">NR-U should support self-contained COT, and further investigates the LBT design and </w:t>
      </w:r>
      <w:r w:rsidR="0043099A" w:rsidRPr="00C82E6E">
        <w:rPr>
          <w:b/>
          <w:u w:val="single"/>
          <w:lang w:val="en-US" w:eastAsia="ja-JP"/>
        </w:rPr>
        <w:t xml:space="preserve">structures of </w:t>
      </w:r>
      <w:r w:rsidR="00804168" w:rsidRPr="00C82E6E">
        <w:rPr>
          <w:b/>
          <w:u w:val="single"/>
          <w:lang w:val="en-US" w:eastAsia="ja-JP"/>
        </w:rPr>
        <w:t xml:space="preserve">the </w:t>
      </w:r>
      <w:r w:rsidR="004027CC" w:rsidRPr="00C82E6E">
        <w:rPr>
          <w:b/>
          <w:u w:val="single"/>
          <w:lang w:val="en-US" w:eastAsia="ja-JP"/>
        </w:rPr>
        <w:t>self-contained COT.</w:t>
      </w:r>
    </w:p>
    <w:p w14:paraId="4D106F48" w14:textId="5DFF2FFA" w:rsidR="0072612A" w:rsidRPr="0072612A" w:rsidRDefault="0072612A" w:rsidP="0072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30665F6" w14:textId="77777777" w:rsidR="00C82E6E" w:rsidRDefault="00C82E6E" w:rsidP="00A2265D">
      <w:pPr>
        <w:spacing w:line="288" w:lineRule="auto"/>
        <w:jc w:val="both"/>
        <w:rPr>
          <w:b/>
          <w:u w:val="single"/>
          <w:lang w:val="en-US"/>
        </w:rPr>
      </w:pPr>
      <w:r w:rsidRPr="00DB0A9F">
        <w:rPr>
          <w:b/>
          <w:u w:val="single"/>
          <w:lang w:val="en-US" w:eastAsia="ja-JP"/>
        </w:rPr>
        <w:t>Proposal</w:t>
      </w:r>
      <w:r>
        <w:rPr>
          <w:b/>
          <w:u w:val="single"/>
          <w:lang w:val="en-US" w:eastAsia="ja-JP"/>
        </w:rPr>
        <w:t xml:space="preserve"> </w:t>
      </w:r>
      <w:r>
        <w:rPr>
          <w:rFonts w:hint="eastAsia"/>
          <w:b/>
          <w:u w:val="single"/>
          <w:lang w:val="en-US"/>
        </w:rPr>
        <w:t>1</w:t>
      </w:r>
      <w:r>
        <w:rPr>
          <w:b/>
          <w:u w:val="single"/>
          <w:lang w:val="en-US" w:eastAsia="ja-JP"/>
        </w:rPr>
        <w:t>: NR-U should</w:t>
      </w:r>
      <w:r w:rsidRPr="00DB0A9F">
        <w:rPr>
          <w:b/>
          <w:u w:val="single"/>
          <w:lang w:val="en-US" w:eastAsia="ja-JP"/>
        </w:rPr>
        <w:t xml:space="preserve"> </w:t>
      </w:r>
      <w:r>
        <w:rPr>
          <w:rFonts w:hint="eastAsia"/>
          <w:b/>
          <w:u w:val="single"/>
          <w:lang w:val="en-US"/>
        </w:rPr>
        <w:t>support</w:t>
      </w:r>
      <w:r w:rsidRPr="00DB0A9F">
        <w:rPr>
          <w:b/>
          <w:u w:val="single"/>
          <w:lang w:val="en-US" w:eastAsia="ja-JP"/>
        </w:rPr>
        <w:t xml:space="preserve"> the </w:t>
      </w:r>
      <w:r>
        <w:rPr>
          <w:rFonts w:hint="eastAsia"/>
          <w:b/>
          <w:u w:val="single"/>
          <w:lang w:val="en-US"/>
        </w:rPr>
        <w:t xml:space="preserve">SCSs up to 60kHz for </w:t>
      </w:r>
      <w:r>
        <w:rPr>
          <w:b/>
          <w:u w:val="single"/>
          <w:lang w:val="en-US"/>
        </w:rPr>
        <w:t>sub-7GHz</w:t>
      </w:r>
      <w:r>
        <w:rPr>
          <w:rFonts w:hint="eastAsia"/>
          <w:b/>
          <w:u w:val="single"/>
          <w:lang w:val="en-US"/>
        </w:rPr>
        <w:t xml:space="preserve">. Additional SCS(s) for FR2 can </w:t>
      </w:r>
      <w:r>
        <w:rPr>
          <w:b/>
          <w:u w:val="single"/>
          <w:lang w:val="en-US"/>
        </w:rPr>
        <w:t xml:space="preserve">also </w:t>
      </w:r>
      <w:r>
        <w:rPr>
          <w:rFonts w:hint="eastAsia"/>
          <w:b/>
          <w:u w:val="single"/>
          <w:lang w:val="en-US"/>
        </w:rPr>
        <w:t xml:space="preserve">be considered </w:t>
      </w:r>
      <w:r>
        <w:rPr>
          <w:b/>
          <w:u w:val="single"/>
          <w:lang w:val="en-US"/>
        </w:rPr>
        <w:t>for unlicensed spectrum in FR2</w:t>
      </w:r>
    </w:p>
    <w:p w14:paraId="02BF4CAB" w14:textId="5197AE4B" w:rsidR="00A2265D" w:rsidRDefault="00A2265D" w:rsidP="00A2265D">
      <w:pPr>
        <w:spacing w:line="288" w:lineRule="auto"/>
        <w:jc w:val="both"/>
        <w:rPr>
          <w:b/>
          <w:u w:val="single"/>
          <w:lang w:val="en-US"/>
        </w:rPr>
      </w:pPr>
      <w:r w:rsidRPr="00DB0A9F">
        <w:rPr>
          <w:b/>
          <w:u w:val="single"/>
          <w:lang w:val="en-US" w:eastAsia="ja-JP"/>
        </w:rPr>
        <w:t>Proposal</w:t>
      </w:r>
      <w:r>
        <w:rPr>
          <w:b/>
          <w:u w:val="single"/>
          <w:lang w:val="en-US" w:eastAsia="ja-JP"/>
        </w:rPr>
        <w:t xml:space="preserve"> 2: Extended CP is not considered for NR-U</w:t>
      </w:r>
      <w:r>
        <w:rPr>
          <w:rFonts w:hint="eastAsia"/>
          <w:b/>
          <w:u w:val="single"/>
          <w:lang w:val="en-US"/>
        </w:rPr>
        <w:t>.</w:t>
      </w:r>
    </w:p>
    <w:p w14:paraId="23C926BA" w14:textId="39F234D4" w:rsidR="00676E6C" w:rsidRPr="00C82E6E" w:rsidRDefault="00676E6C" w:rsidP="00C82E6E">
      <w:pPr>
        <w:spacing w:line="288" w:lineRule="auto"/>
        <w:jc w:val="both"/>
        <w:rPr>
          <w:b/>
          <w:u w:val="single"/>
          <w:lang w:val="en-US" w:eastAsia="ja-JP"/>
        </w:rPr>
      </w:pPr>
      <w:r w:rsidRPr="00C82E6E">
        <w:rPr>
          <w:b/>
          <w:u w:val="single"/>
          <w:lang w:val="en-US" w:eastAsia="ja-JP"/>
        </w:rPr>
        <w:t xml:space="preserve">Proposal 3: </w:t>
      </w:r>
      <w:r w:rsidR="00C82E6E">
        <w:rPr>
          <w:b/>
          <w:u w:val="single"/>
          <w:lang w:val="en-US" w:eastAsia="ja-JP"/>
        </w:rPr>
        <w:t>Supporting f</w:t>
      </w:r>
      <w:r w:rsidRPr="00C82E6E">
        <w:rPr>
          <w:b/>
          <w:u w:val="single"/>
          <w:lang w:val="en-US" w:eastAsia="ja-JP"/>
        </w:rPr>
        <w:t>lexible starting position(s) for downlink/uplink transmission depending on the outcome of channel access should be investigated for NR-U.</w:t>
      </w:r>
    </w:p>
    <w:p w14:paraId="610C3DFF" w14:textId="1EE909A2" w:rsidR="007C4D59" w:rsidRPr="00C82E6E" w:rsidRDefault="007C4D59" w:rsidP="00C82E6E">
      <w:pPr>
        <w:spacing w:line="288" w:lineRule="auto"/>
        <w:jc w:val="both"/>
        <w:rPr>
          <w:b/>
          <w:u w:val="single"/>
          <w:lang w:val="en-US" w:eastAsia="ja-JP"/>
        </w:rPr>
      </w:pPr>
      <w:r w:rsidRPr="00C82E6E">
        <w:rPr>
          <w:b/>
          <w:u w:val="single"/>
          <w:lang w:val="en-US" w:eastAsia="ja-JP"/>
        </w:rPr>
        <w:lastRenderedPageBreak/>
        <w:t xml:space="preserve">Proposal </w:t>
      </w:r>
      <w:r w:rsidR="00676E6C" w:rsidRPr="00C82E6E">
        <w:rPr>
          <w:b/>
          <w:u w:val="single"/>
          <w:lang w:val="en-US" w:eastAsia="ja-JP"/>
        </w:rPr>
        <w:t>4</w:t>
      </w:r>
      <w:r w:rsidR="0080229E" w:rsidRPr="00C82E6E">
        <w:rPr>
          <w:b/>
          <w:u w:val="single"/>
          <w:lang w:val="en-US" w:eastAsia="ja-JP"/>
        </w:rPr>
        <w:t>:</w:t>
      </w:r>
      <w:r w:rsidRPr="00C82E6E">
        <w:rPr>
          <w:b/>
          <w:u w:val="single"/>
          <w:lang w:val="en-US" w:eastAsia="ja-JP"/>
        </w:rPr>
        <w:t xml:space="preserve"> NR-U should support self-contained COT, and further investigates the LBT design and structures of the self-contained COT.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2B2E9022" w14:textId="77777777" w:rsidR="000264EA" w:rsidRDefault="006A6F6C" w:rsidP="00A81FBF">
      <w:pPr>
        <w:spacing w:after="0"/>
        <w:jc w:val="both"/>
        <w:rPr>
          <w:rFonts w:eastAsia="MS Mincho"/>
          <w:lang w:eastAsia="ja-JP"/>
        </w:rPr>
      </w:pPr>
      <w:r w:rsidRPr="00EE006E">
        <w:rPr>
          <w:rFonts w:eastAsia="MS Mincho"/>
          <w:lang w:eastAsia="ja-JP"/>
        </w:rPr>
        <w:t xml:space="preserve">[1] </w:t>
      </w:r>
      <w:r w:rsidR="000264EA">
        <w:rPr>
          <w:rFonts w:eastAsia="MS Mincho"/>
          <w:lang w:eastAsia="ja-JP"/>
        </w:rPr>
        <w:t>RAN1 Chairman’s Note, 3GPP TSG RAN WG1 Meeting #92, Athens, Greece, Febru</w:t>
      </w:r>
      <w:r w:rsidR="000264EA" w:rsidRPr="0049216E">
        <w:rPr>
          <w:rFonts w:eastAsia="MS Mincho"/>
          <w:lang w:eastAsia="ja-JP"/>
        </w:rPr>
        <w:t>ary 26th – March 2nd, 2018</w:t>
      </w:r>
      <w:r w:rsidR="000264EA">
        <w:rPr>
          <w:rFonts w:eastAsia="MS Mincho"/>
          <w:lang w:eastAsia="ja-JP"/>
        </w:rPr>
        <w:t>.</w:t>
      </w:r>
    </w:p>
    <w:p w14:paraId="7B35ED08" w14:textId="35A3D812" w:rsidR="00A81FBF" w:rsidRPr="00C525E6" w:rsidRDefault="00A81FBF" w:rsidP="00A81FBF">
      <w:pPr>
        <w:spacing w:after="0"/>
        <w:jc w:val="both"/>
        <w:rPr>
          <w:rFonts w:eastAsia="SimSun"/>
          <w:lang w:eastAsia="zh-CN"/>
        </w:rPr>
      </w:pPr>
      <w:r>
        <w:rPr>
          <w:rFonts w:eastAsia="MS Mincho"/>
          <w:lang w:eastAsia="ja-JP"/>
        </w:rPr>
        <w:t>[</w:t>
      </w:r>
      <w:r w:rsidR="000264EA">
        <w:rPr>
          <w:rFonts w:eastAsia="MS Mincho"/>
          <w:lang w:eastAsia="ja-JP"/>
        </w:rPr>
        <w:t>2</w:t>
      </w:r>
      <w:r>
        <w:rPr>
          <w:rFonts w:eastAsia="MS Mincho"/>
          <w:lang w:eastAsia="ja-JP"/>
        </w:rPr>
        <w:t xml:space="preserve">] </w:t>
      </w:r>
      <w:r w:rsidRPr="00C525E6">
        <w:rPr>
          <w:rFonts w:eastAsia="SimSun" w:hint="eastAsia"/>
          <w:lang w:eastAsia="zh-CN"/>
        </w:rPr>
        <w:t>R1-18</w:t>
      </w:r>
      <w:r w:rsidR="000264EA">
        <w:rPr>
          <w:rFonts w:eastAsia="SimSun"/>
          <w:lang w:eastAsia="zh-CN"/>
        </w:rPr>
        <w:t>04405</w:t>
      </w:r>
      <w:r w:rsidRPr="00C525E6">
        <w:rPr>
          <w:rFonts w:eastAsia="SimSun" w:hint="eastAsia"/>
          <w:lang w:eastAsia="zh-CN"/>
        </w:rPr>
        <w:t xml:space="preserve">, </w:t>
      </w:r>
      <w:r w:rsidRPr="00C525E6">
        <w:rPr>
          <w:rFonts w:eastAsia="SimSun"/>
          <w:lang w:eastAsia="zh-CN"/>
        </w:rPr>
        <w:t>“</w:t>
      </w:r>
      <w:r w:rsidRPr="00A81FBF">
        <w:rPr>
          <w:rFonts w:eastAsia="SimSun"/>
          <w:lang w:eastAsia="zh-CN"/>
        </w:rPr>
        <w:t>Potential physical layer procedures for NR-U</w:t>
      </w:r>
      <w:r w:rsidRPr="00C525E6">
        <w:rPr>
          <w:rFonts w:eastAsia="SimSun"/>
          <w:lang w:eastAsia="zh-CN"/>
        </w:rPr>
        <w:t>”</w:t>
      </w:r>
      <w:r w:rsidRPr="00C525E6">
        <w:rPr>
          <w:rFonts w:eastAsia="SimSun" w:hint="eastAsia"/>
          <w:lang w:eastAsia="zh-CN"/>
        </w:rPr>
        <w:t xml:space="preserve">, Samsung. </w:t>
      </w:r>
    </w:p>
    <w:p w14:paraId="24B3C234" w14:textId="6CE590AE" w:rsidR="00A81FBF" w:rsidRDefault="00A81FBF" w:rsidP="003C3B35">
      <w:pPr>
        <w:spacing w:after="0"/>
        <w:jc w:val="both"/>
        <w:rPr>
          <w:rFonts w:eastAsia="MS Mincho"/>
          <w:lang w:eastAsia="ja-JP"/>
        </w:rPr>
      </w:pPr>
    </w:p>
    <w:sectPr w:rsidR="00A81FB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536BB" w14:textId="77777777" w:rsidR="008E7ADF" w:rsidRDefault="008E7ADF" w:rsidP="00083046">
      <w:r>
        <w:separator/>
      </w:r>
    </w:p>
  </w:endnote>
  <w:endnote w:type="continuationSeparator" w:id="0">
    <w:p w14:paraId="1A82409D" w14:textId="77777777" w:rsidR="008E7ADF" w:rsidRDefault="008E7AD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C2200" w14:textId="77777777" w:rsidR="008E7ADF" w:rsidRDefault="008E7ADF" w:rsidP="00083046">
      <w:r>
        <w:separator/>
      </w:r>
    </w:p>
  </w:footnote>
  <w:footnote w:type="continuationSeparator" w:id="0">
    <w:p w14:paraId="2DB239A5" w14:textId="77777777" w:rsidR="008E7ADF" w:rsidRDefault="008E7ADF" w:rsidP="000830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5"/>
  </w:num>
  <w:num w:numId="3">
    <w:abstractNumId w:val="8"/>
  </w:num>
  <w:num w:numId="4">
    <w:abstractNumId w:val="11"/>
  </w:num>
  <w:num w:numId="5">
    <w:abstractNumId w:val="7"/>
  </w:num>
  <w:num w:numId="6">
    <w:abstractNumId w:val="0"/>
  </w:num>
  <w:num w:numId="7">
    <w:abstractNumId w:val="4"/>
  </w:num>
  <w:num w:numId="8">
    <w:abstractNumId w:val="3"/>
  </w:num>
  <w:num w:numId="9">
    <w:abstractNumId w:val="9"/>
  </w:num>
  <w:num w:numId="10">
    <w:abstractNumId w:val="10"/>
  </w:num>
  <w:num w:numId="11">
    <w:abstractNumId w:val="2"/>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3"/>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4480"/>
    <w:rsid w:val="00025609"/>
    <w:rsid w:val="00025DDA"/>
    <w:rsid w:val="000264E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77BD4"/>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25D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5A6B"/>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144"/>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3E74"/>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7D7"/>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A97"/>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07FA6"/>
    <w:rsid w:val="0021034B"/>
    <w:rsid w:val="002109FB"/>
    <w:rsid w:val="00210C56"/>
    <w:rsid w:val="00210D0E"/>
    <w:rsid w:val="00210E00"/>
    <w:rsid w:val="00211195"/>
    <w:rsid w:val="0021177B"/>
    <w:rsid w:val="002119CA"/>
    <w:rsid w:val="00211EAD"/>
    <w:rsid w:val="0021354A"/>
    <w:rsid w:val="00214221"/>
    <w:rsid w:val="0021488F"/>
    <w:rsid w:val="00214BA1"/>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B3D"/>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E6B"/>
    <w:rsid w:val="00257F7E"/>
    <w:rsid w:val="002600E6"/>
    <w:rsid w:val="002602D9"/>
    <w:rsid w:val="002605DF"/>
    <w:rsid w:val="002608AE"/>
    <w:rsid w:val="00261646"/>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09D"/>
    <w:rsid w:val="002904E3"/>
    <w:rsid w:val="00290AEF"/>
    <w:rsid w:val="00290BE2"/>
    <w:rsid w:val="0029296E"/>
    <w:rsid w:val="00293132"/>
    <w:rsid w:val="002938B1"/>
    <w:rsid w:val="00293CAF"/>
    <w:rsid w:val="00293E6E"/>
    <w:rsid w:val="00294508"/>
    <w:rsid w:val="00294893"/>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4BE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06"/>
    <w:rsid w:val="002F5790"/>
    <w:rsid w:val="002F5943"/>
    <w:rsid w:val="002F5D62"/>
    <w:rsid w:val="002F6295"/>
    <w:rsid w:val="002F69A8"/>
    <w:rsid w:val="002F6FEC"/>
    <w:rsid w:val="002F7114"/>
    <w:rsid w:val="002F79D5"/>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0D5"/>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374"/>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32D"/>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7CC"/>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99A"/>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3E91"/>
    <w:rsid w:val="00454B83"/>
    <w:rsid w:val="00454D22"/>
    <w:rsid w:val="00455E7A"/>
    <w:rsid w:val="00456447"/>
    <w:rsid w:val="004567CE"/>
    <w:rsid w:val="00456E98"/>
    <w:rsid w:val="004605EE"/>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6F4"/>
    <w:rsid w:val="0048076B"/>
    <w:rsid w:val="00480D85"/>
    <w:rsid w:val="00481074"/>
    <w:rsid w:val="004810CE"/>
    <w:rsid w:val="00481231"/>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624"/>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3622"/>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9A1"/>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433"/>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16CE"/>
    <w:rsid w:val="0053211B"/>
    <w:rsid w:val="00533028"/>
    <w:rsid w:val="0053361F"/>
    <w:rsid w:val="00533905"/>
    <w:rsid w:val="00533D37"/>
    <w:rsid w:val="00533DE6"/>
    <w:rsid w:val="00533E42"/>
    <w:rsid w:val="005344B5"/>
    <w:rsid w:val="00534DF6"/>
    <w:rsid w:val="00535A91"/>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3AF"/>
    <w:rsid w:val="00547D83"/>
    <w:rsid w:val="005501BF"/>
    <w:rsid w:val="00550FF8"/>
    <w:rsid w:val="0055125A"/>
    <w:rsid w:val="005515A9"/>
    <w:rsid w:val="0055161E"/>
    <w:rsid w:val="0055167A"/>
    <w:rsid w:val="00551852"/>
    <w:rsid w:val="00552449"/>
    <w:rsid w:val="00553AF5"/>
    <w:rsid w:val="005543A6"/>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3F4A"/>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0B39"/>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41F"/>
    <w:rsid w:val="005C7D83"/>
    <w:rsid w:val="005C7FA3"/>
    <w:rsid w:val="005D0242"/>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84D"/>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6DD"/>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527"/>
    <w:rsid w:val="0063162C"/>
    <w:rsid w:val="00631A52"/>
    <w:rsid w:val="00631C9C"/>
    <w:rsid w:val="00632544"/>
    <w:rsid w:val="00632EAC"/>
    <w:rsid w:val="00633AD4"/>
    <w:rsid w:val="0063477E"/>
    <w:rsid w:val="006355F1"/>
    <w:rsid w:val="00637AB1"/>
    <w:rsid w:val="0064153D"/>
    <w:rsid w:val="006419A8"/>
    <w:rsid w:val="00641B7E"/>
    <w:rsid w:val="00642752"/>
    <w:rsid w:val="00642A83"/>
    <w:rsid w:val="00642EBE"/>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76E6C"/>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17"/>
    <w:rsid w:val="006A3C92"/>
    <w:rsid w:val="006A5593"/>
    <w:rsid w:val="006A6F6C"/>
    <w:rsid w:val="006A6FAD"/>
    <w:rsid w:val="006A7B44"/>
    <w:rsid w:val="006B17EB"/>
    <w:rsid w:val="006B1826"/>
    <w:rsid w:val="006B1CA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318"/>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1992"/>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0AC"/>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12A"/>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5A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2F47"/>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7AD"/>
    <w:rsid w:val="007A1749"/>
    <w:rsid w:val="007A262F"/>
    <w:rsid w:val="007A324D"/>
    <w:rsid w:val="007A325B"/>
    <w:rsid w:val="007A3BBF"/>
    <w:rsid w:val="007A3DB5"/>
    <w:rsid w:val="007A3FD4"/>
    <w:rsid w:val="007A5500"/>
    <w:rsid w:val="007A645A"/>
    <w:rsid w:val="007A7187"/>
    <w:rsid w:val="007B2881"/>
    <w:rsid w:val="007B28BE"/>
    <w:rsid w:val="007B299C"/>
    <w:rsid w:val="007B2A97"/>
    <w:rsid w:val="007B3B82"/>
    <w:rsid w:val="007B3C58"/>
    <w:rsid w:val="007B3EB3"/>
    <w:rsid w:val="007B3ED7"/>
    <w:rsid w:val="007B3F88"/>
    <w:rsid w:val="007B4298"/>
    <w:rsid w:val="007B49B4"/>
    <w:rsid w:val="007B4C4C"/>
    <w:rsid w:val="007B5CB4"/>
    <w:rsid w:val="007B6146"/>
    <w:rsid w:val="007C045C"/>
    <w:rsid w:val="007C0DCF"/>
    <w:rsid w:val="007C1728"/>
    <w:rsid w:val="007C1E90"/>
    <w:rsid w:val="007C1FEB"/>
    <w:rsid w:val="007C2343"/>
    <w:rsid w:val="007C25EB"/>
    <w:rsid w:val="007C4D59"/>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6A6"/>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2E"/>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29E"/>
    <w:rsid w:val="00802A3E"/>
    <w:rsid w:val="00802B57"/>
    <w:rsid w:val="00802BD8"/>
    <w:rsid w:val="0080308A"/>
    <w:rsid w:val="00804168"/>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16793"/>
    <w:rsid w:val="008208F9"/>
    <w:rsid w:val="008218D8"/>
    <w:rsid w:val="00821B15"/>
    <w:rsid w:val="00822B88"/>
    <w:rsid w:val="00822D35"/>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2D10"/>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2142"/>
    <w:rsid w:val="00863961"/>
    <w:rsid w:val="0086401C"/>
    <w:rsid w:val="008640F9"/>
    <w:rsid w:val="00864E80"/>
    <w:rsid w:val="0086593C"/>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10C6"/>
    <w:rsid w:val="008D324A"/>
    <w:rsid w:val="008D38E0"/>
    <w:rsid w:val="008D3D6F"/>
    <w:rsid w:val="008D5A50"/>
    <w:rsid w:val="008D5BAB"/>
    <w:rsid w:val="008D6F61"/>
    <w:rsid w:val="008E018D"/>
    <w:rsid w:val="008E0448"/>
    <w:rsid w:val="008E0543"/>
    <w:rsid w:val="008E101D"/>
    <w:rsid w:val="008E1091"/>
    <w:rsid w:val="008E158C"/>
    <w:rsid w:val="008E1BE2"/>
    <w:rsid w:val="008E1CBB"/>
    <w:rsid w:val="008E1EB9"/>
    <w:rsid w:val="008E2E86"/>
    <w:rsid w:val="008E2F4E"/>
    <w:rsid w:val="008E4053"/>
    <w:rsid w:val="008E496F"/>
    <w:rsid w:val="008E4D3F"/>
    <w:rsid w:val="008E5BCF"/>
    <w:rsid w:val="008E686B"/>
    <w:rsid w:val="008E69A2"/>
    <w:rsid w:val="008E6CE3"/>
    <w:rsid w:val="008E7016"/>
    <w:rsid w:val="008E71DB"/>
    <w:rsid w:val="008E7ADF"/>
    <w:rsid w:val="008E7EB4"/>
    <w:rsid w:val="008F0F44"/>
    <w:rsid w:val="008F2B67"/>
    <w:rsid w:val="008F301F"/>
    <w:rsid w:val="008F3F16"/>
    <w:rsid w:val="008F3F58"/>
    <w:rsid w:val="008F40F2"/>
    <w:rsid w:val="008F469E"/>
    <w:rsid w:val="008F4799"/>
    <w:rsid w:val="008F52E5"/>
    <w:rsid w:val="008F55A4"/>
    <w:rsid w:val="008F5E5D"/>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580"/>
    <w:rsid w:val="00917B66"/>
    <w:rsid w:val="00917BD8"/>
    <w:rsid w:val="0092003A"/>
    <w:rsid w:val="009203D6"/>
    <w:rsid w:val="009208DF"/>
    <w:rsid w:val="00921AC5"/>
    <w:rsid w:val="00921C98"/>
    <w:rsid w:val="00921E55"/>
    <w:rsid w:val="00922797"/>
    <w:rsid w:val="00922E92"/>
    <w:rsid w:val="00923404"/>
    <w:rsid w:val="00923FCA"/>
    <w:rsid w:val="0092403F"/>
    <w:rsid w:val="0092441A"/>
    <w:rsid w:val="00924DA5"/>
    <w:rsid w:val="009250DB"/>
    <w:rsid w:val="0092530C"/>
    <w:rsid w:val="00926424"/>
    <w:rsid w:val="0092698D"/>
    <w:rsid w:val="009270A3"/>
    <w:rsid w:val="0092780A"/>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143"/>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97E"/>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234"/>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6E0"/>
    <w:rsid w:val="009A3716"/>
    <w:rsid w:val="009A4121"/>
    <w:rsid w:val="009A546A"/>
    <w:rsid w:val="009A6640"/>
    <w:rsid w:val="009A753D"/>
    <w:rsid w:val="009B0CE9"/>
    <w:rsid w:val="009B1469"/>
    <w:rsid w:val="009B245D"/>
    <w:rsid w:val="009B3466"/>
    <w:rsid w:val="009B36B5"/>
    <w:rsid w:val="009B39A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AEB"/>
    <w:rsid w:val="009E4D28"/>
    <w:rsid w:val="009E5704"/>
    <w:rsid w:val="009E5DDF"/>
    <w:rsid w:val="009F01A3"/>
    <w:rsid w:val="009F047E"/>
    <w:rsid w:val="009F071A"/>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65D"/>
    <w:rsid w:val="00A22DAB"/>
    <w:rsid w:val="00A22FB5"/>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7D3"/>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6B7"/>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1FBF"/>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44A"/>
    <w:rsid w:val="00AA649D"/>
    <w:rsid w:val="00AA729C"/>
    <w:rsid w:val="00AA7A6F"/>
    <w:rsid w:val="00AB1DAE"/>
    <w:rsid w:val="00AB1F9A"/>
    <w:rsid w:val="00AB2163"/>
    <w:rsid w:val="00AB217A"/>
    <w:rsid w:val="00AB2514"/>
    <w:rsid w:val="00AB265D"/>
    <w:rsid w:val="00AB2BAE"/>
    <w:rsid w:val="00AB2CAA"/>
    <w:rsid w:val="00AB2ECE"/>
    <w:rsid w:val="00AB3896"/>
    <w:rsid w:val="00AB38A5"/>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075"/>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AEB"/>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652B"/>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78D"/>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BF6F15"/>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0CD"/>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E6E"/>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8AE"/>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5CAF"/>
    <w:rsid w:val="00D3618E"/>
    <w:rsid w:val="00D36D59"/>
    <w:rsid w:val="00D40C12"/>
    <w:rsid w:val="00D40C65"/>
    <w:rsid w:val="00D40DAB"/>
    <w:rsid w:val="00D40E36"/>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6B2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179"/>
    <w:rsid w:val="00DC375F"/>
    <w:rsid w:val="00DC3E7E"/>
    <w:rsid w:val="00DC3F52"/>
    <w:rsid w:val="00DC457B"/>
    <w:rsid w:val="00DC4A9D"/>
    <w:rsid w:val="00DC4BF7"/>
    <w:rsid w:val="00DC4EE4"/>
    <w:rsid w:val="00DC5066"/>
    <w:rsid w:val="00DC50DB"/>
    <w:rsid w:val="00DC59DA"/>
    <w:rsid w:val="00DC5DB3"/>
    <w:rsid w:val="00DC5E68"/>
    <w:rsid w:val="00DC66F7"/>
    <w:rsid w:val="00DD0014"/>
    <w:rsid w:val="00DD0376"/>
    <w:rsid w:val="00DD0B61"/>
    <w:rsid w:val="00DD0C53"/>
    <w:rsid w:val="00DD0F4F"/>
    <w:rsid w:val="00DD0FA8"/>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3992"/>
    <w:rsid w:val="00DE45CD"/>
    <w:rsid w:val="00DE53F1"/>
    <w:rsid w:val="00DE5A7D"/>
    <w:rsid w:val="00DE62E6"/>
    <w:rsid w:val="00DE669F"/>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5F72"/>
    <w:rsid w:val="00E063DF"/>
    <w:rsid w:val="00E06F14"/>
    <w:rsid w:val="00E07CAF"/>
    <w:rsid w:val="00E07F25"/>
    <w:rsid w:val="00E105B6"/>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514"/>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D58"/>
    <w:rsid w:val="00E90F78"/>
    <w:rsid w:val="00E91423"/>
    <w:rsid w:val="00E91A36"/>
    <w:rsid w:val="00E91DF8"/>
    <w:rsid w:val="00E92A40"/>
    <w:rsid w:val="00E92EAD"/>
    <w:rsid w:val="00E9308B"/>
    <w:rsid w:val="00E930D7"/>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092"/>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1D6"/>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A22"/>
    <w:rsid w:val="00EF3A8E"/>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0E24"/>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BA7"/>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1617"/>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5C4"/>
    <w:rsid w:val="00F77BF4"/>
    <w:rsid w:val="00F809BC"/>
    <w:rsid w:val="00F80C35"/>
    <w:rsid w:val="00F81552"/>
    <w:rsid w:val="00F81B51"/>
    <w:rsid w:val="00F81BF3"/>
    <w:rsid w:val="00F821BA"/>
    <w:rsid w:val="00F82753"/>
    <w:rsid w:val="00F82A79"/>
    <w:rsid w:val="00F8318B"/>
    <w:rsid w:val="00F834BB"/>
    <w:rsid w:val="00F837EF"/>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303"/>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69D"/>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97"/>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B40"/>
    <w:rsid w:val="00FE356A"/>
    <w:rsid w:val="00FE3DB3"/>
    <w:rsid w:val="00FE4882"/>
    <w:rsid w:val="00FE5C15"/>
    <w:rsid w:val="00FE61FE"/>
    <w:rsid w:val="00FE7774"/>
    <w:rsid w:val="00FE78D3"/>
    <w:rsid w:val="00FF0374"/>
    <w:rsid w:val="00FF08A7"/>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657A2A3-0F81-4C92-86FB-3FCDFF4F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qFormat/>
    <w:rsid w:val="00480D85"/>
    <w:pPr>
      <w:keepNext/>
      <w:autoSpaceDE w:val="0"/>
      <w:autoSpaceDN w:val="0"/>
      <w:adjustRightInd w:val="0"/>
      <w:snapToGrid w:val="0"/>
      <w:spacing w:before="120" w:after="120"/>
      <w:ind w:left="720" w:hanging="720"/>
      <w:jc w:val="both"/>
      <w:outlineLvl w:val="4"/>
    </w:pPr>
    <w:rPr>
      <w:rFonts w:eastAsia="SimSun"/>
      <w:b/>
      <w:bCs/>
      <w:i/>
      <w:iCs/>
      <w:sz w:val="22"/>
      <w:szCs w:val="26"/>
      <w:lang w:val="en-US" w:eastAsia="en-US"/>
    </w:rPr>
  </w:style>
  <w:style w:type="paragraph" w:styleId="Heading6">
    <w:name w:val="heading 6"/>
    <w:basedOn w:val="Normal"/>
    <w:next w:val="Normal"/>
    <w:link w:val="Heading6Char"/>
    <w:qFormat/>
    <w:rsid w:val="00480D85"/>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eastAsia="en-US"/>
    </w:rPr>
  </w:style>
  <w:style w:type="paragraph" w:styleId="Heading7">
    <w:name w:val="heading 7"/>
    <w:basedOn w:val="Normal"/>
    <w:next w:val="Normal"/>
    <w:link w:val="Heading7Char"/>
    <w:qFormat/>
    <w:rsid w:val="00480D85"/>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eastAsia="en-US"/>
    </w:rPr>
  </w:style>
  <w:style w:type="paragraph" w:styleId="Heading8">
    <w:name w:val="heading 8"/>
    <w:basedOn w:val="Normal"/>
    <w:next w:val="Normal"/>
    <w:link w:val="Heading8Char"/>
    <w:qFormat/>
    <w:rsid w:val="00480D85"/>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eastAsia="en-US"/>
    </w:rPr>
  </w:style>
  <w:style w:type="paragraph" w:styleId="Heading9">
    <w:name w:val="heading 9"/>
    <w:basedOn w:val="Normal"/>
    <w:next w:val="Normal"/>
    <w:link w:val="Heading9Char"/>
    <w:qFormat/>
    <w:rsid w:val="00480D85"/>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uiPriority w:val="35"/>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LGTdoc1">
    <w:name w:val="LGTdoc_제목1"/>
    <w:basedOn w:val="Normal"/>
    <w:rsid w:val="00480D85"/>
    <w:pPr>
      <w:adjustRightInd w:val="0"/>
      <w:snapToGrid w:val="0"/>
      <w:spacing w:beforeLines="50" w:after="100" w:afterAutospacing="1"/>
      <w:jc w:val="both"/>
    </w:pPr>
    <w:rPr>
      <w:rFonts w:eastAsia="바탕"/>
      <w:b/>
      <w:snapToGrid w:val="0"/>
      <w:sz w:val="28"/>
    </w:rPr>
  </w:style>
  <w:style w:type="character" w:customStyle="1" w:styleId="Heading5Char">
    <w:name w:val="Heading 5 Char"/>
    <w:basedOn w:val="DefaultParagraphFont"/>
    <w:link w:val="Heading5"/>
    <w:rsid w:val="00480D85"/>
    <w:rPr>
      <w:rFonts w:eastAsia="SimSun"/>
      <w:b/>
      <w:bCs/>
      <w:i/>
      <w:iCs/>
      <w:sz w:val="22"/>
      <w:szCs w:val="26"/>
      <w:lang w:eastAsia="en-US"/>
    </w:rPr>
  </w:style>
  <w:style w:type="character" w:customStyle="1" w:styleId="Heading6Char">
    <w:name w:val="Heading 6 Char"/>
    <w:basedOn w:val="DefaultParagraphFont"/>
    <w:link w:val="Heading6"/>
    <w:rsid w:val="00480D85"/>
    <w:rPr>
      <w:rFonts w:eastAsia="SimSun"/>
      <w:b/>
      <w:bCs/>
      <w:sz w:val="22"/>
      <w:szCs w:val="22"/>
      <w:lang w:eastAsia="en-US"/>
    </w:rPr>
  </w:style>
  <w:style w:type="character" w:customStyle="1" w:styleId="Heading7Char">
    <w:name w:val="Heading 7 Char"/>
    <w:basedOn w:val="DefaultParagraphFont"/>
    <w:link w:val="Heading7"/>
    <w:rsid w:val="00480D85"/>
    <w:rPr>
      <w:rFonts w:eastAsia="SimSun"/>
      <w:sz w:val="24"/>
      <w:szCs w:val="24"/>
      <w:lang w:eastAsia="en-US"/>
    </w:rPr>
  </w:style>
  <w:style w:type="character" w:customStyle="1" w:styleId="Heading8Char">
    <w:name w:val="Heading 8 Char"/>
    <w:basedOn w:val="DefaultParagraphFont"/>
    <w:link w:val="Heading8"/>
    <w:rsid w:val="00480D85"/>
    <w:rPr>
      <w:rFonts w:eastAsia="SimSun"/>
      <w:i/>
      <w:iCs/>
      <w:sz w:val="24"/>
      <w:szCs w:val="24"/>
      <w:lang w:eastAsia="en-US"/>
    </w:rPr>
  </w:style>
  <w:style w:type="character" w:customStyle="1" w:styleId="Heading9Char">
    <w:name w:val="Heading 9 Char"/>
    <w:basedOn w:val="DefaultParagraphFont"/>
    <w:link w:val="Heading9"/>
    <w:rsid w:val="00480D85"/>
    <w:rPr>
      <w:rFonts w:ascii="Arial" w:eastAsia="SimSun"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35173-9D9D-4CF6-9DB4-BB5DBBB9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#92b</vt:lpstr>
      <vt:lpstr>3GPP TSG RAN WG1 #55</vt:lpstr>
    </vt:vector>
  </TitlesOfParts>
  <Company>S</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#92b</dc:title>
  <dc:creator>Samsung</dc:creator>
  <cp:lastModifiedBy>오진영/글로벌표준팀(SR)/Senior Engineer/삼성전자</cp:lastModifiedBy>
  <cp:revision>4</cp:revision>
  <cp:lastPrinted>2012-03-15T10:36:00Z</cp:lastPrinted>
  <dcterms:created xsi:type="dcterms:W3CDTF">2018-04-05T00:15:00Z</dcterms:created>
  <dcterms:modified xsi:type="dcterms:W3CDTF">2018-04-06T06:01:00Z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C:\mySingle\TEMP\R1-180XXXX-NRU-Channel-draft.docx</vt:lpwstr>
  </property>
</Properties>
</file>